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ZD23.027569 vom 15. August 2025</w:t>
      </w:r>
    </w:p>
    <w:p>
      <w:r>
        <w:t>VD Tribunal cantonal, 2025-08-15, FR</w:t>
      </w:r>
    </w:p>
    <w:p>
      <w:r>
        <w:rPr>
          <w:b/>
        </w:rPr>
        <w:t xml:space="preserve">Quelle: </w:t>
      </w:r>
      <w:r>
        <w:t>https://mcp.opencaselaw.ch/entscheid/vd_gerichte_ZD23.027569</w:t>
      </w:r>
    </w:p>
    <w:p>
      <w:r>
        <w:t>FR: VD_GERICHTE ZD23.027569 du 15 août 2025</w:t>
      </w:r>
    </w:p>
    <w:p>
      <w:r>
        <w:t>IT: VD_GERICHTE ZD23.027569 del 15 agosto 2025</w:t>
      </w:r>
    </w:p>
    <w:p>
      <w:pPr>
        <w:pStyle w:val="Heading2"/>
      </w:pPr>
      <w:r>
        <w:t>Erwägungen</w:t>
      </w:r>
    </w:p>
    <w:p>
      <w:r>
        <w:rPr>
          <w:b/>
        </w:rPr>
        <w:t>E. 4</w:t>
      </w:r>
    </w:p>
    <w:p>
      <w:r>
        <w:t>Dans un grief de nature formelle, la recourante se plaint d’une violation de son droit d’être entendue. Elle reproche à l’intimé de ne pas</w:t>
      </w:r>
    </w:p>
    <w:p>
      <w:r>
        <w:t>- 19 - avoir discuté, dans la motivation jointe aux décisions attaquées, ses critiques concernant le point de départ de son droit à la rente et l’utilisation des statistiques relatives à l’année 2020 pour calculer son revenu avec invalidité en lieu et place des statistiques de l’année 2018.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2C_1132/2018 du 21 janvier 2019 consid. 3.1).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w:t>
      </w:r>
    </w:p>
    <w:p>
      <w:r>
        <w:t>- 20 -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b) En l’occurrence, il est vrai que, dans sa motivation, l’intimé ne discute pas les raisons pour lesquelles il ne retient pas l’argumentation de la recourante relative au point de départ de la rente, la rejetant implicitement et faisant débuter le droit à la rente en mars 2020. Quoi qu’il en soit, dans le cadre de la présente procédure, l’intimé s’est rallié aux arguments de la recourante et a acquiescé à sa conclusion tendant à ce que son droit à la rente soit reconnu dès le 1er janvier 2020. Dans ces circonstances, il apparaît qu’une éventuelle violation du droit d’être entendu sur ce point doit être considérée comme guérie. S’agissant du calcul du revenu avec invalidité, l’intimé a rejeté implicitement l’argumentation de la recourante sans expliquer, dans la motivation de ses décisions, ni dans le cadre de la présente procédure, les raisons pour lesquelles elle s’était fondée sur les statistiques relatives à l’année 2018 alors que les statistiques pour 2020 étaient disponibles. Cela étant, la recourante a pu s’exprimer librement dans le cadre de la présente procédure et faire valoir ses critiques à ce sujet devant la Cour de céans qui dispose d’un plein pouvoir d’examen, de sorte qu’une éventuelle violation de son droit d’être entendue sur ce point doit être également considérée comme étant réparée.</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w:t>
      </w:r>
    </w:p>
    <w:p>
      <w:r>
        <w:t>- 21 -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141 V 9 consid. 2.3) c) En l’espèce, il n’est pas contesté qu’un changement important dans l’état de santé de la recourante est intervenu si bien que c’est à juste titre que l’intimé est entré en matière sur la nouvelle demande déposée en 2019 par l’intéressée.</w:t>
      </w:r>
    </w:p>
    <w:p>
      <w:r>
        <w:rPr>
          <w:b/>
        </w:rPr>
        <w:t>E. 6</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- 22 -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w:t>
      </w:r>
    </w:p>
    <w:p>
      <w:r>
        <w:t>- 23 - échelonnée (ATF 145 V 209 consid. 5.3 ; 131 V 164 consid. 2.2 ; 125 V 413 consid. 2d).</w:t>
      </w:r>
    </w:p>
    <w:p>
      <w:r>
        <w:rPr>
          <w:b/>
        </w:rPr>
        <w:t>E. 6.1</w:t>
      </w:r>
    </w:p>
    <w:p>
      <w:r>
        <w:t>et les références citées). Aucun abattement n’est ainsi justifié pour ce motif à l’égard de la recourante. Pour le surplus, il ne ressort pas d’autre élément susceptible d’influer négativement sur les perspectives salariales de la recourante pour les activités adaptées existantes, qui ne requièrent pas de formation particulière. e) La comparaison des revenus déterminés ci-dessus aboutit au degré d’invalidité de 36,31 % ([58'797 fr. – 37'444 fr. 93] / 58'797 fr. x 100), arrondi à 36 % (ATF 130 V 121), qui est inférieur au seuil de 40 % ouvrant le droit à une rente.</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- 24 -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Il reste à examiner le calcul du taux d’invalidité de la recourante et le début du droit à la rente.</w:t>
      </w:r>
    </w:p>
    <w:p>
      <w:r>
        <w:t>- 32 -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 31 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w:t>
      </w:r>
    </w:p>
    <w:p>
      <w:r>
        <w:t>- 33 - cc) Pour un assuré qui n'exerçait que partiellement une activité lucrative, l'invalidité est, pour cette part, évaluée selon la méthode générale de comparaison des revenus. S'il se consacrait en outre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27bis RAI, dans sa teneur en vigueur jusqu’au 31 décembre 2021 ; voir par ailleurs ATF 131 V 51 consid. 5.1.2). dd)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b) En l’espèce, lors de sa première demande de prestations, l’assurée a complété le 1er juillet 2014 un formulaire de détermination de</w:t>
      </w:r>
    </w:p>
    <w:p>
      <w:r>
        <w:t>- 34 - son statut dans lequel elle a indiqué qu’en bonne santé, elle travaillerait à 80 % depuis décembre 2011 par intérêt personnel pour sa profession et par nécessité financière. Dans le formulaire de détermination du statut complété le 11 novembre 2019 à l’appui de sa deuxième demande de prestations, elle a expliqué qu’en bonne santé, elle travaillerait à 100 % depuis 2013 dans sa profession habituelle par intérêt personnel et par nécessité financière. Il apparaît ainsi que les informations communiquées par l’assurée sont contradictoires. Dans la mesure où l’OAI a retenu un statut d’active à 100 %, lequel est favorable à la recourante et n’est d’ailleurs pas contesté, il n’y a pas lieu de revenir sur ce point. C’est ainsi à juste titre que l’intimé a fait application de la méthode ordinaire de comparaison des revenus. c) Chez les assurés actifs à plein temps, le degré d’invalidité doit être déterminé sur la base d’une comparaison des revenus avec et sans invalidité (art. 16 LPGA ; cf. consid. a) aa) ci-dessus).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w:t>
      </w:r>
    </w:p>
    <w:p>
      <w:r>
        <w:t>- 35 -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- 36 - d) En l’espèce, l’intimé a fait usage de l’ESS pour la détermination des revenus avec et sans invalidité. Le recours aux données salariales statistiques n’est pas critiquable. Cela étant, comme l’a soulevé la recourante, l’intimé a fait application des revenus ressortant de l’ESS relative à l’année 2018, alors qu’il aurait dû utiliser l’ESS pour l’année 2020 qui était disponible à la date des décisions attaquées. Pour le revenu sans invalidité, l’intimé s’est fondé sur le salaire de référence pour des femmes exerçant une activité de niveau de compétence 2 dans le domaine de la santé humaine et de l’action sociale (Tableau TA1_tirage_skill_level, ligne 86-88, femmes, niveau de compétence 2). Compte tenu de la formation de la recourante et de l’activité exercée avant la survenance de son incapacité de travail, la référence au niveau de compétence 2 de l’ESS relative au domaine de la santé et de l’action sociale ne peut pas être validée. En effet, la recourante n’a aucune formation professionnelle certifiante, hormis le certificat d’auxiliaire de santé délivré par la Croix-Rouge en 2012 alors qu’elle était déjà employée au sein de L.________, et ses tâches consistaient essentiellement dans les soins d’hygiène et d’accompagnement des pensionnaires. Le niveau de compétence 1 apparaît plus approprié et conduit à un revenu de 58'797 fr. sur la base de l’ESS 2020 (soit un salaire mensuel de 4'700 fr. pour 40 heures x 41,7 heures correspondant à l’horaire hebdomadaire moyen des entreprises en Suisse en 2020 x 12 mois) plus proche du salaire qu’elle percevait dans son ancienne activité selon les indications fournies par son employeur (salaire mensuel de 3'057 fr. pour un taux de 80 %, respectivement 3'821 fr. 25 pour un 100 %, soit un revenu annuel de 49'676 fr. 25 pour un 100 % en 2014, qui devrait être porté à 51'952 fr. 88 après indexation à 2020). C’est donc un revenu sans invalidité de 58'797 fr. qui doit être retenu en l’espèce. S’agissant ensuite du revenu avec invalidité, l’intimé s’est référé au salaire moyen, tous domaines confondus, auquel peuvent prétendre les femmes effectuant des tâches physiques ou manuelles</w:t>
      </w:r>
    </w:p>
    <w:p>
      <w:r>
        <w:t>- 37 - simples (Tableau TA1_tirage_skill_level, tous secteurs confondus, femmes, niveau de compétence 1), ce qui ne prête pas le flanc à la critique. Il y a toutefois lieu de faire application de l’ESS 2020, au lieu de l’ESS 2018, ce qui conduit à retenir un revenu de 53'492 fr. 76 (salaire mensuel de 4’276 fr. pour 40 heures x 41,7 heures correspondant à l’horaire hebdomadaire moyen des entreprises en Suisse en 2020 x 12 mois), respectivement de 37'444 fr. 93 pour un taux de 70 %, compte tenu de la diminution de rendement de 30 %. L’intimé a indiqué qu’un abattement supplémentaire sur le revenu sans invalidité au titre de désavantage salarial ne se justifiait pas, mentionnant en particulier que les limitations fonctionnelles étaient déjà prises en considération dans la capacité de travail résiduelle de la recourante. En effet, les activités visées par le tableau TA1_skill_level de l’ESS sont des activités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En l’occurrence, les limitations fonctionnelles retenues par les experts dans le cas d’espèce sont soutenues par la réduction de rendement, de sorte qu’il n’y a pas de désavantage à compenser.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(TF 9C_341/2023 du 29 janvier 2024 consid.</w:t>
      </w:r>
    </w:p>
    <w:p>
      <w:r>
        <w:t>- 38 -</w:t>
      </w:r>
    </w:p>
    <w:p>
      <w:r>
        <w:rPr>
          <w:b/>
        </w:rPr>
        <w:t>E. 10</w:t>
      </w:r>
    </w:p>
    <w:p>
      <w:r>
        <w:t>a) Il résulte de ce qui précède que la recourante ne peut pas prétendre au quart de rente que lui a alloué l’intimé à compter du 1er mars 2020 dans les décisions attaquées. Cette issue aboutit par conséquent à un résultat qui est moins favorable pour la recourante. b) Conformément à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Toute reformatio in pejus implique par conséquent que la personne concernée soit expressément informée de cette possibilité afin d'évaluer les mesures à prendre en toute connaissance de cause (ATF 137 V 314 consid. 3.2). Dans la mesure où l’art. 61 let d. LPGA a pour objectif de faire prévaloir, dans la procédure cantonale, une mise en œuvre correcte du droit matériel sur les intérêts juridiques de l’assuré, cette disposition doit être interprétée dans le respect du principe de la légalité et de l’égalité de traitement. Conformément à son objectif et à sa position systématique, cette disposition ne présuppose pas que la juridiction cantonale ne puisse réformer in pejus la décision attaquée que si celle-ci est indubitablement</w:t>
      </w:r>
    </w:p>
    <w:p>
      <w:r>
        <w:t>- 39 - erronée et que la correction revêt une importance considérable (ATF 144 V 153 consid. 4.2.4). c) En l’occurrence, la recourante a expressément été rendue attentive à la possibilité d’une reformatio in pejus et à la possibilité de retirer, cas échéant, son recours, mais a expressément déclaré le maintenir. Or l’intérêt subjectif de la recourante à percevoir un quart de rente, alors que les conditions légales d’octroi d’une telle prestation ne sont pas réalisées, ne saurait l’emporter, dans le cas d’espèce, sur les principes de la légalité et de l’égalité de traitement au point qu’il faille renoncer à réformer les décisions attaquées.</w:t>
      </w:r>
    </w:p>
    <w:p>
      <w:r>
        <w:rPr>
          <w:b/>
        </w:rPr>
        <w:t>E. 11</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(ATF 140 I 285 consid. 6.3.1 ; 134 I 140 consid. 5.3 ; 130 II 425 consid. 2.1 ; TF 8C_660/2015 du 24 février 2016 consid. 4.1). b) En l’espèce, le dossier est complet et permet à la Cour de céans de statuer en pleine connaissance de cause. Il n’y a dès lors pas lieu de compléter l’instruction, comme le requiert la recourante, par la mise en œuvre d’une expertise judiciaire. Une telle mesure ne serait pas de nature à modifier les considérations qui précèdent, les faits pertinents ayant pu être constatés à satisfaction de droit. La requête de la recourante en ce sens doit ainsi être rejetée.</w:t>
      </w:r>
    </w:p>
    <w:p>
      <w:r>
        <w:rPr>
          <w:b/>
        </w:rPr>
        <w:t>E. 12</w:t>
      </w:r>
    </w:p>
    <w:p>
      <w:r>
        <w:t>a) Au vu de ce qui précède, le recours, mal fondé, doit être rejeté et les décisions de l’intimé des 26 mai et 6 juin 2023 doivent être réformées en ce sens que la recourante n’a pas droit à une rente de l’assurance-invalidité.</w:t>
      </w:r>
    </w:p>
    <w:p>
      <w:r>
        <w:t>- 40 -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