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ZD23.026955 vom 30. Juli 2024</w:t>
      </w:r>
    </w:p>
    <w:p>
      <w:r>
        <w:t>VD Tribunal cantonal, 2024-07-30, FR</w:t>
      </w:r>
    </w:p>
    <w:p>
      <w:r>
        <w:rPr>
          <w:b/>
        </w:rPr>
        <w:t xml:space="preserve">Quelle: </w:t>
      </w:r>
      <w:r>
        <w:t>https://mcp.opencaselaw.ch/entscheid/vd_gerichte_ZD23.026955</w:t>
      </w:r>
    </w:p>
    <w:p>
      <w:r>
        <w:t>FR: VD_GERICHTE ZD23.026955 du 30 juillet 2024</w:t>
      </w:r>
    </w:p>
    <w:p>
      <w:r>
        <w:t>IT: VD_GERICHTE ZD23.026955 del 30 luglio 2024</w:t>
      </w:r>
    </w:p>
    <w:p>
      <w:pPr>
        <w:pStyle w:val="Heading2"/>
      </w:pPr>
      <w:r>
        <w:t>Erwägungen</w:t>
      </w:r>
    </w:p>
    <w:p>
      <w:r>
        <w:rPr>
          <w:b/>
        </w:rPr>
        <w:t>E. 3</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- 14 -</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 cf. MARGIT MOSER-SZELESS, in DUPONT/MOSER-SZELESS [édit.],</w:t>
      </w:r>
    </w:p>
    <w:p>
      <w:r>
        <w:t>- 15 -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w:t>
      </w:r>
    </w:p>
    <w:p>
      <w:r>
        <w:t>- 16 - personnelles, familiales, sociales, financières et professionnelles (TF 9C_151/2022 du 8 juillet 2022 consid. 2.3).</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5.1</w:t>
      </w:r>
    </w:p>
    <w:p>
      <w:r>
        <w:t>; 9C_585/2019 du 3 juin 2020 consid. 4.1 et les références), ce qui n’est pas le cas en l’espèce. Quant aux traits de personnalité ils n’ont en principe pas valeur de maladie psychiatrique invalidante (TF 9C_756/2018 du 17 avril 2019 consid. 5.2.2 et les références). Les conclusions de l’expert psychiatre ne sont en outre remises en cause par aucun autre avis médical et peuvent être suivies. bb) Sur le plan rhumatologique, l’expert B.________ pose le diagnostic incapacitant de douleur lombaire basse secondaire à des discopathies avec réaction inflammatoire Modic 1 (M51.9). Sans répercussion sur la capacité de travail, il retient les diagnostics de canal carpien électromyographique et de douleur de l’avant-bras droit secondaire à deux chirurgies du coude pour épicondylite. Au jour de l’expertise, la recourante présente une douleur essentiellement lombaire, sans véritable irradiation dans les membres inférieurs dont l’examen clinique ne montre aucun signe neurologique. L’expert constate que cette douleur est secondaire à des discopathies</w:t>
      </w:r>
    </w:p>
    <w:p>
      <w:r>
        <w:t>- 24 - étagées avec réaction inflammatoire en miroir au niveau L4-L5 ; cette réaction inflammatoire explique les douleurs nocturnes ainsi que celles susceptibles de se produire après une position fixe tenue longtemps. L’assurée n’étant pas favorable à subir une opération chirurgicale, l’expert relève que la mise en place d’un corset rigide en plastique thermo formable à l’avantage d’être un traitement facile à supporter. La physiothérapie doit se poursuivre afin d’éviter la fonte musculaire avec l’essai d’antalgiques de second palier (Opium, Tramal) étant donné que les traitements actuels (Dafalgan, CBD) semblent inefficaces avec une douleur cotée entre huit et dix sur dix. Selon l’expert, de nouvelles infiltrations articulaires postérieures devraient, au moins en partie, améliorer la symptomatologie. Le niveau de la douleur exprimée paraît un peu excessif, surtout en regard des antalgiques pris, mais néanmoins plausible compte tenu de la pathologie présentée. L’expert note que la recourante effectue seule l’entretien de son appartement, les gestes de la vie quotidienne, s’occupe également seule de son fils, sort trois chiens au moins deux fois par jour et a des contacts familiaux mais pas de réseau amical. Enfin, elle dispose d’une formation professionnelle avec CFC et est en mesure d’exercer une activité sédentaire sans port de charges. Sur le plan strictement rhumatologique, le travail comme agente de la police ferroviaire est contre-indiqué en raison des limitations fonctionnelles (« pas d’efforts de soulèvement de plus de 5 kg, pas de porte-à-faux du buste ni de rotation répétée du buste, port de charge limité à 5 kg, changement de position régulier entre la position assise et la position debout »). A l’inverse, l’exercice d’une activité adaptée, dans laquelle l’assurée peut porter un corset rigide sans difficulté est exigible à 80 % (100 % avec baisse de rendement de 20 %) depuis mai 2013. De son côté, la recourante tente de remettre en cause les conclusions de l’expert rhumatologue en se prévalant du dernier rapport d’IRM lombaire du 31 mai 2022. Or dans son rapport du 16 novembre 2022, comparant la dernière imagerie lombaire au dossier à une IRM du 7 janvier 2020, le Dr</w:t>
      </w:r>
    </w:p>
    <w:p>
      <w:r>
        <w:t>- 25 - A.________ n’est pas en mesure de confirmer une évolution défavorable sur l’imagerie des troubles dégénératifs lombaires de sa patiente. Sur la base de son anamnèse et son status sommaire, le médecin traitant retient que la situation est cliniquement sans évolution notable par rapport à celle figurant dans l’expertise pluridisciplinaire de février 2020 du M.________. Pour le reste, le Dr A.________ se limite à faire part d’avis subjectifs sur la capacité adaptative de sa patiente qui lui paraît plus limitée que celle décrite. Il qualifie de sévère de retenir la capacité de travail de 80 % dans une activité adaptée. Au vu de son caractère très laconique et très vague, le point de vue du médecin traitant sur la capacité de travail de la recourante ne peut pas être préféré à celui de son confrère, spécialiste en rhumatologie. En outre, le Dr A.________ a relevé que la recourante montrait une réticence chronique à toute proposition de thérapie invasive, notamment à des tentatives d’infiltrations anesthésiques-corticoïdes. Comme l’a observé le Dr H.________ du SMR, ces éléments ne montrent aucune aggravation depuis l’expertise. Ainsi, l’appréciation de l’expert rhumatologue peut être suivie, aucun élément médical concret ne venant la contredire. cc) A l’issue de l’examen de la médecine interne générale, l’expert B._____________ a diagnostiqué un épisode de lithiase rénale à l’âge de vingt ans, un status après perforation de l’intestin et laparotomie à l’âge de onze ans à la suite d’un traumatisme par empalement et deux interventions pour adhésiolyse abdominale. Il a noté des cystites récurrentes traitées par antibiotiques et des polypes au niveau de l’anus excisés en 2008. L’expert relève une cohérence et une plausibilité des traitements de médecine interne générale pour les pathologies décrites sans information divergente au dossier médical. En l’absence d’une atteinte incapacitante et de limitation fonctionnelle, aucune incapacité de travail ne peut être retenue sur le plan de la médecine interne. d) A la lumière de l’expertise pluridisciplinaire du M.________ qui bénéficie d’une pleine valeur probante, il convient de retenir que si</w:t>
      </w:r>
    </w:p>
    <w:p>
      <w:r>
        <w:t>- 26 - l’activité habituelle d’agente de la police ferroviaire n’est plus exigible depuis mai 2013 en raison des restrictions d’ordre rhumatologique présentées par la recourante, il existe cependant une capacité de travail résiduelle de 80 % (100 % avec une diminution de rendement de 20 %) dans une activité adaptée aux limitations fonctionnelles retenues. 9. a) Sur le plan économique, le taux d’invalidité global serait de 36,6 % pour l’année 2018 (année de naissance du droit éventuel à la rente). A la suite du changement de statut intervenu, le taux d’invalidité global serait de 43,84 % ouvrant le droit de la recourante à un quart de rente dès le mois de mars 2020.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S'agissant du revenu avec invalidité, en l'absence d'un revenu effectivement réalisé – soit lorsque la personne assurée, après la survenance de l'atteinte à la santé, n'a pas repris d'activité lucrative ou alors aucune activité normalement exigible – comme en l’espèce,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c) aa) En ce qui concerne la fixation du revenu sans invalidité, dans la décision attaquée, l’OAI a retenu un montant de 73'456 fr. correspondant au revenu que la recourante aurait obtenu en bonne santé au vu de ses diplômes. Puis l’OAI a refait ses calculs dans le cadre de la</w:t>
      </w:r>
    </w:p>
    <w:p>
      <w:r>
        <w:t>- 27 - procédure de recours en retenant le montant de 75'189 fr. 40 annoncé par la société [...] SA en tant que revenu de l’intéressée au taux de 100 % en 2007. Il convient de valider ce mode de calcul. Après indexation selon l’évolution des salaires sur la base de l’indice des salaires nominaux pour les femmes, le revenu sans invalidité est de 83'707 fr. en 2018 et de 85'300 fr. en 2020. bb) S’agissant du revenu avec invalidité, il ressort de l’ESS 2018, éditée par l’Office fédéral de la statistique (OFS), un montant mensuel de 4’371 francs.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2018, soit 41,7 heures, ce qui correspond à un montant annuel de 54'681 fr. 21. Compte tenu d’une capacité de travail résiduelle de 80 %, on retient un revenu de 43'744 fr. 97. En mars 2020, la recourante aurait changé de statut en augmentant sa part active à 80 %, ce qui nécessite un nouveau calcul du degré d’invalidité. La valeur statistique de l’ESS 2020 retient un montant mensuel de 4’276 francs. Adapté à la durée hebdomadaire usuelle dans les entreprises en 2020, soit 41,7 heures, elle correspond à un montant annuel de 53'492 fr. 76. Compte tenu d’une capacité de travail résiduelle de 80 %, le revenu s’élève à 42'794 fr. 21 en 2020. cc) Pour la période du 1er février 2018 (échéance du délai d’ouverture du droit éventuel à la rente compte tenu du dépôt tardif de la</w:t>
      </w:r>
    </w:p>
    <w:p>
      <w:r>
        <w:t>- 28 - demande de prestations le 10 août 2017) jusqu’au 29 février 2020, le degré d’invalidité dans la part consacrée à l’exercice d’une activité lucrative s’élève à 47,74 % ([{83'707 fr. - 43'744 fr. 97} / 83’707 fr.] x 100). Pour la période courant depuis le 1er mars 2020 après le changement de statut, le degré d’invalidité dans la part consacrée à l’exercice d’une activité lucrative est de 49,83 % ([{85'300 fr. – 42'794 fr. 21} / 85’300 fr.] x 100). 10. S’agissant de la part ménagère, la recourante fait valoir qu’en raison de son état de santé qui se détériore à grande vitesse, il lui est impossible de marcher normalement, de se baisser, de soulever un poids, indiquant que son dos est en train de lâcher, sans aucune médication susceptible de l’améliorer. Ce faisant, elle ne formule pas de griefs précis contre les conclusions prises au terme de l’évaluation économique sur le ménage réalisée en septembre 2020 à son domicile, si ce n’est qu’elle semble invoquer être apte à accomplir uniquement les tâches ménagères légères pendant une courte durée. Dans son rapport du 5 octobre 2020, l’enquêtrice a mis en évidence une entrave totale de 19,9 %. L’enquête économique sur le ménage effectuée le 10 septembre 2020 a eu lieu au domicile et en présence de l’assurée. Cette évaluation se fonde sur l’ensemble des circonstances particulières. Elle rapporte les déclarations relatives à chaque activité. L’enquêtrice a rappelé les atteintes à la santé de la recourante et a listé ses limitations fonctionnelles (d’ordre rhumatologique : pas d’efforts de soulèvement de plus de cinq kilos, pas de porte-à-faux ni de rotation répétée du buste, port de charge limité à cinq kilos, changement régulier entre la position assise et debout. Au plan psychiatrique : la personnalité est dépressive, mais avec des ressources et des mécanismes adaptatifs, sans incidence). L’enquêtrice a en outre eu connaissance des constatations et conclusions du rapport d’expertise pluridisciplinaire du 6 mars 2020 du M.________ dont il ressort que l’assurée se charge de l’entretien de l’appartement, sort trois chiens au moins deux fois par jour. Au demeurant, l'aide que l'on peut exiger de la</w:t>
      </w:r>
    </w:p>
    <w:p>
      <w:r>
        <w:t>- 29 - mère et du fils de l’assurée a été prise en compte au titre de l'obligation de réduire le dommage (ATF 130 V 97 consid. 3.2). Eu égard à ce qui précède, aucun indice n'est propre à remettre en cause les conclusions du rapport d’évaluation économique sur le ménage du 5 octobre 2020 mettant en évidence un empêchement de 19,9 % dans l’accomplissement des travaux habituels. Ce document a été rédigé par une enquêtrice qualifiée, qui a eu connaissance de la situation locale et spatiale ainsi que des empêchements et des handicaps résultant des diagnostics médicaux, et a correctement apprécié les indications de l’assurée recueillies sur place.</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w:t>
      </w:r>
    </w:p>
    <w:p>
      <w:r>
        <w:t>- 17 -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9C_179/2022 du 24 août 2022 consid. 5.2 ; 9C_299/2021 du</w:t>
      </w:r>
    </w:p>
    <w:p>
      <w:r>
        <w:rPr>
          <w:b/>
        </w:rPr>
        <w:t>E. 11</w:t>
      </w:r>
    </w:p>
    <w:p>
      <w:r>
        <w:t>a) Du 1er février 2018 au 29 février 2020, le taux d’invalidité global doit ainsi être fixé à 36,6 % ([60 % x 47,74 %] + [40 % x 19,9 %]), arrondi à 37 % (ATF 130 V 121). b) Pour la période courant depuis le 1er mars 2020, le taux d’invalidité global doit être fixé à 43,84 % ([80 % x 49,83 %] + [20 % x 19,9 %]), arrondi à 44 %, taux qui ouvre le droit à un quart de rente (cf. art. 28 al. 2 LAI).</w:t>
      </w:r>
    </w:p>
    <w:p>
      <w:r>
        <w:rPr>
          <w:b/>
        </w:rPr>
        <w:t>E. 12</w:t>
      </w:r>
    </w:p>
    <w:p>
      <w:r>
        <w:t>a) Le recours doit être admis et la décision attaquée réformée en ce sens que la recourante a droit à un quart de rente d’invalidité dès le 1er mars 2020. b) La procédure de recours en matière de contestations portant sur des prestations de l’assurance-invalidité est soumise à des frais de justice (art. 69 al. 1bis LAI). Il convient de les fixer à 600 fr. et de les mettre à la charge de l’intimé, vu l’issue du litige. Il n’y a pas lieu d’allouer des dépens, la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