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ZD23.026003 vom 2. September 2024</w:t>
      </w:r>
    </w:p>
    <w:p>
      <w:r>
        <w:t>VD Tribunal cantonal, 2024-09-02, FR</w:t>
      </w:r>
    </w:p>
    <w:p>
      <w:r>
        <w:rPr>
          <w:b/>
        </w:rPr>
        <w:t xml:space="preserve">Quelle: </w:t>
      </w:r>
      <w:r>
        <w:t>https://mcp.opencaselaw.ch/entscheid/vd_gerichte_ZD23.026003</w:t>
      </w:r>
    </w:p>
    <w:p>
      <w:r>
        <w:t>FR: VD_GERICHTE ZD23.026003 du 2 septembre 2024</w:t>
      </w:r>
    </w:p>
    <w:p>
      <w:r>
        <w:t>IT: VD_GERICHTE ZD23.026003 del 2 settembre 2024</w:t>
      </w:r>
    </w:p>
    <w:p>
      <w:pPr>
        <w:pStyle w:val="Heading2"/>
      </w:pPr>
      <w:r>
        <w:t>Erwägungen</w:t>
      </w:r>
    </w:p>
    <w:p>
      <w:r>
        <w:rPr>
          <w:b/>
        </w:rPr>
        <w:t>E. 31</w:t>
      </w:r>
    </w:p>
    <w:p>
      <w:r>
        <w:t>décembre 2021. Les dispositions légales ci-dessous seront donc mentionnées dans leur version en vigueur jusqu’au 31 décembre 2021.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w:t>
      </w:r>
    </w:p>
    <w:p>
      <w:r>
        <w:t>- 17 -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w:t>
      </w:r>
    </w:p>
    <w:p>
      <w:r>
        <w:t>- 18 -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En l’espèce, une première décision sur le droit à la rente de la recourante a été rendue en juin 2015. Il y a lieu de déterminer si l’état de santé de la prénommée s’est notablement péjoré depuis lors, entraînant une incapacité de travail et de gain plus importante qu’auparavant, au point de fonder le droit à une rente.</w:t>
      </w:r>
    </w:p>
    <w:p>
      <w:r>
        <w:t>- 19 - a) Lors du dépôt de la première demande de prestations de l’assurance-invalidité, la recourante présentait des gonalgies bilatérales dans le cadre d’une gonarthrose interne bilatérale prédominant à gauche. Une obésité de grade I, un goitre multinodulaire et une insuffisance veineuse des membres inférieurs avec eczéma de stase avaient également été mentionnés par le médecin traitant de l’époque. Se fondant sur les rapports médicaux versés au dossier et sur l’avis du SMR, l’OAI avait retenu que la capacité de travail de la recourante dans l’activité habituelle de concierge et de femme de ménage était nulle en raison des atteintes aux genoux, mais qu’elle présentait en revanche une capacité de travail entière dans une activité adaptée respectant les limitations fonctionnelles induites par ces troubles, à savoir pas de station debout prolongée, pas de travail accroupi ni à genoux, pas de travail sur des échelles et échafaudages et pas de longues stations assises sans possibilité de changer de position. Quant aux autres atteintes à la santé, elles n’avaient pas de répercussions sur la capacité de travail. Pour déterminer la part d’empêchement dans la tenue du ménage, qui avait alors été fixé à 12 %, l’intimé s’était fondé sur le rapport d’enquête économique sur le ménage du 14 avril 2015, duquel il ressortait que la recourante rapportait des sensations douloureuses aux genoux en permanence jour et nuit, ainsi que des troubles de la marche, l’assurée ne pouvant pas rester en position debout plus de 30 minutes. Elle avait du reste acquis deux cannes en raison de son atteinte à la santé. Il était en outre mentionné que l’assurée était aidée par son mari, qui assumait l’ensemble des courses et se chargeait de l’administration et des paiements, ainsi que par ses enfants qui apportaient leur aide dans la tenue du ménage, en passant l’aspirateur, en nettoyant les sols, en assumant les à-fonds, et en transportant le linge entre l’appartement et la buanderie. A l’appui de sa nouvelle demande de prestations de décembre 2020, la recourante a mentionné une gonarthrose tricompartimentale et une déchirure du ménisque interne. Il ressort des rapports médicaux</w:t>
      </w:r>
    </w:p>
    <w:p>
      <w:r>
        <w:t>- 20 - versés au dossier que la recourante a subi le 22 juin 2020 une entorse au genou droit qui a décompensé la gonarthrose qui existait déjà en 2015. Une IRM du genou droit réalisée le 7 juillet 2020 a également mis en évidence une déchirure complexe du ménisque interne avec rupture de la corne postérieure en regard de son ancrage tibial et extrusion du corps méniscale. La recourante se plaignait également de cervico-brachialgies apparues en novembre 2020. La médecin traitante a attesté une incapacité de travail totale depuis le 22 juin 2020 en raison de ces atteintes à la santé, en renvoyant aux Drs B.________ et X.________ pour les limitations fonctionnelles induites par ces troubles (cf. rapport du 11 janvier 2021 de la Dre A.________). En raison de la persistance des gonalgies, l’assurée a en effet été adressée auprès du Dr B.________ qui a procédé à une infiltration intra- articulaire au genou droit en juin 2021. Si cette infiltration a permis de réduire les douleurs, le Dr B.________ a indiqué que la recourante restait limitée dans son périmètre de marche, pour la station debout, pour les escaliers, pour la flexion du genou et qu’elle présentait une fatigabilité. La recourante était également limitée pour la tenue du ménage, le nettoyage, les achats et la lessive (cf. notamment ses rapports des 16 février 2021, 8 juin 2021 et 24 août 2021). Il y a lieu de constater que ces limitations fonctionnelles induites par les gonalgies dans le cadre d’une gonarthrose bilatérale correspondent à celles prévalant déjà en 2015. Au vu de la persistance de gonalgies bilatérales, la recourante a ensuite consulté V.________ en vue de la mise en place d’une prothèse du genou. A noter que le traitement par prothèse avait déjà été évoqué entre la recourante et ses médecins lors du dépôt de la première demande de prestations AI, mais que la recourante y avait renoncé à l’époque. Déjà en 2015, il était connu qu’un tel traitement devrait être entrepris à terme. Une arthroplastie totale du genou gauche a été réalisée le 2 septembre 2022 à V.________. Si les médecins de cet établissement hospitalier ne se sont pas déterminés sur les limitations fonctionnelles de la recourante, il ressort de leurs rapports médicaux que les suites opératoires ont été</w:t>
      </w:r>
    </w:p>
    <w:p>
      <w:r>
        <w:t>- 21 - favorables tant sur le plan objectif que subjectif. En janvier 2023, à trois mois de l’intervention, le Dr S.________ a relevé que le genou gauche présentait de très bonnes amplitudes articulaires et que la prothèse était bien équilibrée et parfaitement stable. Par ailleurs, la recourante mentionnait une amélioration progressive des douleurs au genou gauche l’amenant à consommer sporadiquement des Ibuprofènes. Elle mentionnait en revanche une dégradation des gonalgies droites progressives depuis l’opération. Au niveau des cervico-brachialgies apparues en novembre 2020, il ressort également du dossier que l’évolution a été favorable sans que la recourante n’ait eu besoin de recourir à l’infiltration que lui avait proposée le Dr X.________ en janvier 2021 (cf. rapport du 5 avril 2002 du Dr X.________ et notice de l’entretien téléphonique du 25 juillet 2022 entre la recourante et le gestionnaire de l’intimé). Relevons que ce spécialiste n’avait pas établi d’arrêt de travail en lien avec les troubles mis en évidence dans l’IRM réalisée en décembre 2020. Par ailleurs, aucun des rapports des médecins consultés par la recourante ne font état de limitations fonctionnelles en lien avec des cervico-brachialgies, les restrictions physiques mises en évidence ayant trait uniquement aux atteintes aux genoux. Concernant les autres atteintes évoquées dans les rapports médicaux, à savoir une obésité de degré I et un reflux gastro-oesophagien, les pièces versées au dossier ne laissent aucun doute sur le fait qu’elles ne sont pas incapacitantes ni n’entraînent de limitations fonctionnelles. La recourante ne prétend d’ailleurs pas le contraire. Précisons encore que si un probable état dépressif a été mentionné par les médecins de V.________, il ne s’agit que d’une hypothèse qui avait déjà été soulevée par eux en 2014. Aucun rapport médical versé au dossier ne fait d’ailleurs état d’éléments cliniques rendant vraisemblable l’existence d’une atteinte psychiatrique invalidante ou de limitations fonctionnelles d’ordre psychique.</w:t>
      </w:r>
    </w:p>
    <w:p>
      <w:r>
        <w:t>- 22 - Sur la base des rapports médicaux versés au dossier à la date de la décision attaquée, l’intimé était fondé à suivre l’avis du 22 mars 2023 de la Dre W.________ du SMR et à retenir qu’hormis une période d’incapacité de travail totale dans toute activité entre le 2 septembre et le 2 décembre 2022 en lien avec l’intervention chirurgicale au genou gauche, la recourante présentait toujours, comme lors de la première demande de prestations, une capacité de travail entière dans une activité adaptée respectant les limitations fonctionnelles d’ordre orthopédique prévalant lors de la première décision. b) Au stade du recours, la recourante a signalé avoir subi une arthroplastie totale du genou droit en mars 2023 et devoir rester constamment couchée en raison de fortes douleurs. Cet élément antérieur à la décision attaquée, dont l’intimé n’avait toutefois pas connaissance au moment de rendre ladite décision, n’est pas de nature à mettre en doute le bien-fondé de la position de l’intimé. Il ressort en effet du rapport du 18 octobre 2023 de V.________ que les suites opératoires de la mise en place de la prothèse du genou droit ont été favorables d’un point de vue objectif. A plus de six mois post- opératoire, l’examen clinique montrait notamment que la cicatrice ne présentait pas de signe inflammatoire, que la flexion était à 120°, que l’extension était complète et la mobilisation indolore. Le genou était stable dans le plan sagittal et coronal en extension et à 90° de flexion. L’appareil extenseur était compétent et il y avait un bon tracking de la rotule avec quelques crépitements. L’examen radiologique était également tout à fait rassurant. Il montrait un bon positionnement des implants et une rotule prothétique bien centrée. Il n’y avait pas de débord médial ni de signe de descellement. Par ailleurs, comme l’a relevé la Dre W.________ du SMR dans son avis du 10 janvier 2024, un traitement d’une gonarthrose par une prothèse totale du genou mise lege artis et sans complications objectives post-opératoires devrait améliorer la fonctionnalité du genou et donc la capacité de travail dans une activité adaptée. D’ailleurs, le Dr R.________ avait lui aussi relevé déjà en 2014 qu’à terme la réalisation d’une arthroplastie totale du genou réduirait les limitations fonctionnelles</w:t>
      </w:r>
    </w:p>
    <w:p>
      <w:r>
        <w:t>- 23 - de la recourante. Les constatations objectives faites par les médecins de V.________ ne permettent pas de retenir que l’atteinte de la recourante au genou droit aurait subi une aggravation notable et durable par rapport à 2015. Comme l’a retenu la Dre W.________ du SMR dans son avis du 26 février 2024, cette intervention chirurgicale du genou droit a entraîné une incapacité de travail totale seulement temporaire, entre le 16 mars et le 16 juin 2023, liée aux suites opératoires. Les déclarations de la recourante concernant une péjoration de ses gonalgies droites, qui ne sont pas expliquées par des éléments objectifs ressortant des pièces médicales versées au dossier, ne permettent pas d’apprécier la situation différemment. Rappelons à cet égard que selon la jurisprudence, l'allégation de douleurs doit être confirmée par des observations médicales concluantes, à défaut de quoi une appréciation du droit aux prestations ne peut être assurée de manière conforme à l'égalité de traitement entre assurés (ATF 130 V 352 consid. 2.2.2). c) Précisons encore que les rapports produits au stade du recours n’apportent pas d’éléments objectifs de nature à faire douter des considérations qui précèdent. En particulier, si la Dre A.________ a mentionné dans son rapport du 17 juillet 2023 la présence de lombalgies basses constantes depuis un mois et demi elle ne signale pas de limitations fonctionnelles induites par un trouble lombaire et les seules limitations fonctionnelles énumérées par la médecin traitante dans son rapport ont trait aux douleurs au genou droit. Par ailleurs, les constatations cliniques de la médecin traitante, soit un Lasègue négatif et l’absence de déficit sensitivomoteur, ne permettent pas de déduire la présence d’un trouble du rachis durablement incapacitant. Le rapport du 23 novembre 2023 de la médecin traitante, qui consiste essentiellement à rappeler les atteintes à la santé de la recourante et surtout les douleurs alléguées par la prénommée, sans faire état de limitations fonctionnelles objectives constatées par elle, ne permet</w:t>
      </w:r>
    </w:p>
    <w:p>
      <w:r>
        <w:t>- 24 - pas d’établir une aggravation de l’état de santé de la recourante depuis 2015 propre à modifier son droit aux prestations. d) En définitive, il n’y a pas de péjoration significative et durable de l’état de santé de la recourante depuis 2015 qui entraînerait une diminution notable de sa capacité de travail par rapport à ce qui avait été admis à l’époque. La recourante dispose toujours d’une pleine capacité de travail dans une activité adaptée respectant les limitations fonctionnelles d’ordre orthopédique retenues par l’intimé. 6. La recourante conteste ensuite le taux d’empêchement de 12 % dans la tenue du ménage et reproche à l’intimé de ne pas avoir mis en œuvre une nouvelle enquête sur le ménage. Or, comme vu plus haut, les limitations fonctionnelles de la recourante sont globalement inchangées depuis 2015. En l’absence de nouvelles restrictions physiques induites par son atteinte à la santé, on ne saurait retenir que son taux d’empêchement ménager se serait modifié. C’est par ailleurs en vain que la recourante se prévaut du rapport du 28 mai 2020 de la Dre A.________ et de celui du 16 février 2021 du Dr B.________. Dans le premier document, la Dre A.________ indique que la recourante ne peut plus faire son ménage, que sa fille passe l’aspirateur, que le fils lave les vitres et que son mari s’occupe des commissions. Dans le deuxième document, le Dr B.________ mentionne quant à lui que la recourante a besoin d’aide pour la tenue du ménage, le nettoyage, les achats et la lessive. Il s’agit des mêmes limitations que celles retenues en 2015. Il ressort en effet du rapport de l’enquête sur le ménage réalisée le 7 avril 2015 que la recourante était déjà à l’époque aidée par ses enfants qui passaient l’aspirateur, nettoyaient les sols, assumaient les à-fonds, et descendaient le linge à la buanderie puis le remontaient à la maison. La recourante était également aidée par son mari, qui s’occupait notamment de l’ensemble des courses. Il ressort en outre du rapport d’enquête sur le ménage que la recourante avait déjà à l’époque acquis une paire de cannes et que les tâches qu’elle</w:t>
      </w:r>
    </w:p>
    <w:p>
      <w:r>
        <w:t>- 25 - accomplissait, tel le repassage ou le nettoyage du frigo, étaient effectuées par elle en position assise à l’aide d’un siège. Au vu de ce qui précède, l’intimé pouvait confirmer le taux d’empêchement de 12 % sans procéder à une nouvelle enquête ménagère. 7. Pour la détermination du degré d’invalidité, l’intimé a retenu que la recourante avait un statut d’active à 50 % et de ménagère à 50 %, ce qui ne prête pas le flanc à la critique. En effet, dans le formulaire de détermination du statut du 13 janvier 2021, la recourante a indiqué que sans atteinte à la santé, elle travaillerait à 50 % depuis le 22 juin 2020. Si à réception du projet de décision de refus de prestations du 24 mars 2023, la recourante a contesté ce statut mixte, en soutenant pour la première fois qu’elle aurait travaillé à plein temps, cette nouvelle allégation ne peut pas être suivie.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En l’espèce, les dernières déclarations de la recourante apparaissent d’autant moins vraisemblables qu’elle justifie le statut d’active par le fait que ses enfants ont tous atteints la majorité, alors que ses enfants étaient déjà majeurs lorsqu’elle a complété le formulaire de détermination du statut en janvier 2021. Relevons par ailleurs que dans ce document elle a mentionné qu’elle pratiquerait des activités sportives, de la lecture et la tenue du foyer pendant le temps non travaillé, soit des activités sans lien avec l’éducation des enfants. Pour le surplus, il n’y a pas lieu d’examiner plus avant le calcul du taux d’invalidité opéré par l’intimé, qui n’est pas contesté en tant que tel. Si dans le cadre des objections au projet de décision la recourante a allégué qu’une réduction de 25 % aurait dû être effectuée sur le revenu</w:t>
      </w:r>
    </w:p>
    <w:p>
      <w:r>
        <w:t>- 26 - avec invalidité, l’absence d’abattement n’est plus critiquée au stade du recours. Elle n’est du reste pas contestable et admettre une réduction de 10 %, comme l’avait fait l’intimé en 2015, ne paraît pas justifié au vu des circonstances du cas d’espèce. A noter que même en tenant compte d’un abattement de 25 % sur le revenu avec invalidité, le degré d’invalidité resterait insuffisant pour ouvrir le droit à des prestations de l’assurance-invalidité. 8. Le dossier est complet et permet à la Cour de céans de statuer en pleine connaissance de cause. La réquisition de preuve sollicitée par la recourante tendant à la mise en œuvre d’une expertise médicale, qui ne serait pas de nature à modifier les considérations qui précèdent, doit ainsi être rejetée (appréciation anticipée des preuves : ATF 145 I 167 consid. 4.1 ; 140 I 285 consid. 6.3.1). 9. En conclusion, le recours, mal fondé, doit être rejeté et la décision litigieuse confirmée.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