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ZD23.025996 vom 28. Oktober 2025</w:t>
      </w:r>
    </w:p>
    <w:p>
      <w:r>
        <w:t>VD Tribunal cantonal, 2025-10-28, FR</w:t>
      </w:r>
    </w:p>
    <w:p>
      <w:r>
        <w:rPr>
          <w:b/>
        </w:rPr>
        <w:t xml:space="preserve">Quelle: </w:t>
      </w:r>
      <w:r>
        <w:t>https://mcp.opencaselaw.ch/entscheid/vd_gerichte_ZD23.025996</w:t>
      </w:r>
    </w:p>
    <w:p>
      <w:r>
        <w:t>FR: VD_GERICHTE ZD23.025996 du 28 octobre 2025</w:t>
      </w:r>
    </w:p>
    <w:p>
      <w:r>
        <w:t>IT: VD_GERICHTE ZD23.025996 del 28 ottobre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w:t>
      </w:r>
    </w:p>
    <w:p>
      <w:r>
        <w:t>- 32 - ménage, l’éducation des enfants ainsi que les soins et l’assistance aux proches (art. 27 al. 1 RAI ; cf. Margit Moser-Szeless, in Dupont/Moser- Szeless [édit.], Commentaire romand, Loi sur la partie générale des assurances sociales, Bâle 2025,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w:t>
      </w:r>
    </w:p>
    <w:p>
      <w:r>
        <w:t>- 33 - cette personne exercerait une telle activité, et à quel taux, dans des circonstances semblables, mais en l’absence d’atteinte à la santé (ATF 144 I 28 consid. 2.3 ; 133 V 504 consid. 3.3 ; 125 V 146 consid. 2c).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- 34 -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9C_647/2020 du 26 août 2021 consid. 4.2 ; TF 9C_10/2017 du 27 mars 2017 consid. 5.1 et les références ; TF 9C_542/2011 du 26 janvier 2012 consid. 4.1 et les références). Il convient cependant de poser des exigences strictes en matière de preuve ; une expertise devra être ordonnée si des doutes, même faibles, subsistent quant à la fiabilité ou à la pertinence des constatations effectuées par le SMR (ATF 135 V 465 consid. 4.6 ; TF</w:t>
      </w:r>
    </w:p>
    <w:p>
      <w:r>
        <w:t>- 35 - 8C_697/2023 du 17 septembre 2024 consid. 3.3.2 et les références ; TF 9C_10/2017 du 27 mars 2017 consid. 5.1 et les références).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w:t>
      </w:r>
    </w:p>
    <w:p>
      <w:r>
        <w:t>- 36 - contrario, une expertise judiciaire s’impose lorsque les données recueillies par l’administration en cours d’instruction ne revêtent pas une valeur probante suffisante sur des points décisifs (ATF 139 V 99 consid. 1.1 ; 137 V 210 consid. 4.4.1.4 et 4.4.1.5).</w:t>
      </w:r>
    </w:p>
    <w:p>
      <w:r>
        <w:rPr>
          <w:b/>
        </w:rPr>
        <w:t>E. 7</w:t>
      </w:r>
    </w:p>
    <w:p>
      <w:r>
        <w:t>Dans un premier grief, la recourante se plaint de ce que l’intimé lui a reconnu un statut d’active à 60 % et un statut de ménagère à 40 % jusqu’à la fin de l’année 2015, puis un statut d’active à 80 %, avant de lui reconnaître un statut d’active à 100 % à partir du mois de mars 2019. Elle conteste l'application de la méthode mixte au cas d'espèce jusqu’en février 2019, estimant que l’OAI aurait dû tenir compte d’un statut d’active à 100 % dès sa séparation d’avec son époux, en 2010. Elle allègue que les réponses apportées dans le premier questionnaire de détermination du statut du 14 mai 2013 devaient être comprises en ce sens que son état de santé lui permettait à ce moment-là de travailler à 60 %. Selon elle, il allait de soi qu’elle aurait travaillé à 100 % si son état de santé le lui avait permis, en raison de la gêne financière dans laquelle elle se trouvait, avec deux enfants à charge, ce d’autant plus que la contribution d’entretien de 4'500 fr. fixée dans le cadre de la procédure de divorce n’était pas versée par son ex-époux et qu’elle bénéficiait du revenu d’insertion. a) Le Tribunal fédéral a estimé que, d'une manière générale, il n'y avait pas lieu de s'éloigner des déclarations dites de la « première heure » dont rien n'indique qu'elles résultent d'une mauvaise compréhension des questions pour leur substituer une évaluation hypothétique fondée en majeure partie sur les besoins financiers d'une personne assurée. La nécessité économique d'exercer une activité lucrative ne revêt en effet pas à elle seule une importance prépondérante dans la détermination du statut de la personne assurée (TF 9C_39/2014 du 19 mai 2014 consid. 3 ; 9C_406/2011 du 9 juillet 2012 consid. 5.7). Pour déterminer le champ d’activité probable de l’assuré, il faut notamment prendre en considération la situation financière du ménage, l’éducation des enfants, l’âge de l’assuré, ses qualifications professionnelles, sa formation ainsi que ses affinités et talents personnels.</w:t>
      </w:r>
    </w:p>
    <w:p>
      <w:r>
        <w:t>- 37 - En pratique, on tiendra compte de l’évolution de la situation jusqu’au prononcé de la décision administrative litigieuse, en admettant la reprise hypothétique d’une activité partielle ou complète, si cette éventualité présente un degré de vraisemblance prépondérante (ATF 144 I 28 consid. 2.3 ; 137 V 334 consid. 3.2 et les références ; TF 9C_501/2023 du 24 janvier 2024 consid. 4.2). b) En l’espèce, l’assurée a indiqué dans le formulaire qu’elle a complété le 14 mai 2013 qu’en bonne santé, elle exercerait une activité à 60 % depuis 2010, date de sa séparation d’avec son époux, en tant qu’[...] ou [...], par nécessité financière. Contrairement à ce qu’elle soutient, il n’apparaît pas qu’elle aurait mal compris la question et aurait indiqué sa capacité de travail dans son état de santé actuel, puisqu’elle s’est expressément référée aux métiers exercés par le passé (jusqu’en 2003) qui n’étaient plus exigibles en raison de ses atteintes somatiques. La réponse du mois de mai 2013 correspond de surcroît précisément à celle apportée lors de l’enquête économique sur le ménage réalisée à son domicile le 4 septembre 2017, à plus de quatre années d’intervalle. L’évaluateur a noté à cet égard que l’assurée travaillait à 20 % lorsqu’elle était mariée, ce qui lui convenait et lui permettait de s’occuper de sa famille et de son ménage, et qu’elle estimait qu’un taux d’activité de 60 % depuis sa séparation d’avec son époux lui aurait permis de subvenir à ses besoins. Ce taux aurait même pu être augmenté à 80 % dès 2016, soit dès le treizième anniversaire de sa fille cadette. Il ressort du rapport d’enquête du 4 septembre 2017 que la question du statut a été abordée en profondeur et que l’intéressée a eu l’occasion de mener une réflexion aboutie à cet égard. Son raisonnement, tel qu’exposé dans ce document, semble du reste logique au regard de sa situation. Elle avait effectivement réduit son taux d’activité au début des années 2000, ne travaillant plus ou au maximum à 20 % entre 2000 et 2010, après la naissance de son troisième enfant, en 2001, et de sa fille cadette, en 2003. On peut donc partir du principe qu’en bonne santé, la recourante, mère de quatre enfants donc trois étaient encore mineurs (les deux aînés ayant du reste poursuivi des études), aurait dû augmenter son taux d’activité en raison de sa séparation d’avec son époux, mais qu’elle aurait tout de même</w:t>
      </w:r>
    </w:p>
    <w:p>
      <w:r>
        <w:t>- 38 - continué à consacrer une partie de son temps à la tenue de son ménage et à l’éducation de ses enfants. Il apparaît également tout à fait adéquat de retenir un taux d’activité de 80 % dès le treizième anniversaire de sa fille cadette, soit en 2016. Selon le questionnaire soumis à l’assurée ensuite du jugement de divorce mettant fin au versement de la pension alimentaire en sa faveur de 4'500 fr. à compter du mois de mars 2020 et complété par l'intéressée le 25 février 2020, elle aurait alors travaillé à 100 % si elle avait été en bonne santé. C’est ainsi à compter du 1er mars 2020 qu’un changement de circonstance est apparu et aurait nécessité une augmentation du taux d'activité de l’assurée, et non dès le 1er mars 2019, comme cela ressort à tort des calculs opérés par l’OAI dans son projet de décision du 14 septembre 2020, en contradiction avec les considérants du projet précité qui retiennent la date du 1er mars 2020. Partant, c’est à juste titre que l’OAI s’est fondé sur les déclarations constantes de l’assurée pour retenir un statut d’active à 60 % jusqu’en fin 2015, puis un statut d’active à 80 % jusqu’en février 2020, et un statut d’active à 100 % au-delà.</w:t>
      </w:r>
    </w:p>
    <w:p>
      <w:r>
        <w:rPr>
          <w:b/>
        </w:rPr>
        <w:t>E. 8</w:t>
      </w:r>
    </w:p>
    <w:p>
      <w:r>
        <w:t>avril 2022, a noté qu’au vu de la déchirure méniscale du genou, une activité préservant les genoux devait être privilégiée, de sorte qu’elle a ajouté à la liste des limitations fonctionnelles de l’intéressée les activités suivantes : monter sur les échelles et les échafaudages, travail en position accroupie, à genoux ou debout de manière prolongée, marche en terrain accidenté, ce qui a été omis par l’intimé – à l’instar des limitations fonctionnelles liées au trouble dépressif récurrent mentionnées par avis du SMR du 25 août 2016. Les médecins traitants de la recourante ont également fait état de limitations fonctionnelles supplémentaires, comme une incapacité de travailler en équipe, une perte de force à la main droite</w:t>
      </w:r>
    </w:p>
    <w:p>
      <w:r>
        <w:t>- 50 - et une capacité de concentration réduite liée à la radiculopathie cervicale C6-C7, sur laquelle les médecins du SMR ne se sont, à tort, pas prononcé. dd) Dans ces circonstances, les conclusions de l’OAI sur le plan somatique, basées sur des avis du SMR remis en doute par les éléments au dossier, ne sont pas satisfaisantes et ne permettent pas de se positionner à satisfaction de droit sur la présente cause. Une expertise aurait ainsi dû être diligentée. Cela dit, vu l’incapacité de travail totale de la recourante pour des motifs psychiatriques pour la période courant du mois de septembre 2011 au mois de juin 2018, ouvrant le droit à une rente entière, il n’est pas nécessaire de combler les lacunes du dossier sur le plan somatique pour cette période. On relèvera de surcroît qu’étant donné les nombreuses atteintes tant psychiatriques que physiques présentées par l’assurée, l’intimé ne pouvait en réalité se passer de mettre en œuvre une expertise pluridisciplinaire comportant une évaluation consensuelle du cas. Il apparaît en effet primordial de déterminer les interactions entre les différentes comorbidités présentées par la recourante et leur influence sur sa capacité de travail. Les atteintes physiques semblent relativement importantes, l’évaluateur de l’OAI ayant noté, dans son enquête du 4 septembre 2017, que l’assurée était « très diminuée » par ses atteintes à la santé et les Drs D.________ et O.________ ayant estimé que la capacité de travail de la recourante était réduite par ses atteintes somatiques à compter du mois de mai 2018, lesquelles entraînent d’ailleurs plusieurs limitations fonctionnelles. En cas d’incapacité de travail et/ou de baisse de rendement liée aux atteintes tant physiques que psychiques, il importe donc qu’une synthèse soit effectuée et que des spécialistes se concertent pour définir une capacité de travail globale. La Dre G.________ relève d’ailleurs expressément dans ses rapports des 29 mai 2021 et 16 octobre 2023 que les troubles psychiatriques et somatiques de l’assurée sont liés et qu’une analyse de leur intrication est indispensable pour la bonne compréhension de la clinique de sa patiente. La médecin traitante mentionne elle aussi expressément dans son rapport du 10 octobre 2019</w:t>
      </w:r>
    </w:p>
    <w:p>
      <w:r>
        <w:t>- 51 - le besoin d’une évaluation spécialisée tant sur le plan physique que psychique. ee) En définitive, la Cour de céans n’est pas en mesure de statuer sur le droit de la recourante à des prestations de l’assurance- invalidité au-delà du 30 septembre 2018, respectivement de confirmer une amélioration de l’état de santé en juillet 2018. Partant, il convient d’annuler partiellement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à l'intimé de compléter l'instruction médicale en mettant en œuvre une expertise pluridisciplinaire, comportant à tout le moins un volet de neurochirurgie, un volet de médecine interne et un volet psychiatrique, conformément à l'art. 44 LPGA. Celle-ci devra permettre de déterminer la capacité de travail médico-théorique de la recourante à compter du mois de juillet 2018, ainsi que ses limitations fonctionnelles. Une évaluation consensuelle de l’état de santé de la recourante, tenant compte des éventuelles interactions entre les différentes atteintes psychiques et physiques et de leur influence sur la capacité de travail exigible de celle-ci, devra être mise en œuvre. La possibilité sera en outre laissée aux experts de s'adjoindre les services d'un médecin spécialiste d'un ou plusieurs autre(s) domaine(s) s'ils l'estiment pertinent. A l’issue de cette instruction complémentaire, l’OAI rendra une nouvelle décision. ff) A ce dernier égard, on rappellera, à toutes fins utiles, que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 il est seulement admis</w:t>
      </w:r>
    </w:p>
    <w:p>
      <w:r>
        <w:t>- 52 -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9C_517/2016 du 7 mars 2017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(TF 9C_663/2020 du 11 août 2021 consid. 4.1). La réalisation des critères (durée de 15 années d’allocation de la rente ou accomplissement de la 55e année) doit être examinée par rapport au moment du prononcé de la suppression de la rente (ATF 148 V 321 du 27 juin 2022 consid. 7.3).</w:t>
      </w:r>
    </w:p>
    <w:p>
      <w:r>
        <w:rPr>
          <w:b/>
        </w:rPr>
        <w:t>E. 9</w:t>
      </w:r>
    </w:p>
    <w:p>
      <w:r>
        <w:t>a) En définitive, le recours doit être admis et la décision attaquée réformée, en ce sens que la recourante a droit à une rente entière d’invalidité du 1er octobre 2013 au 30 septembre 2018. La décision querellée doit être annulée pour le surplus,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w:t>
      </w:r>
    </w:p>
    <w:p>
      <w:r>
        <w:t>- 53 -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