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ZD23.023114 vom 25. Januar 2024</w:t>
      </w:r>
    </w:p>
    <w:p>
      <w:r>
        <w:t>VD Tribunal cantonal, 2024-01-25, FR</w:t>
      </w:r>
    </w:p>
    <w:p>
      <w:r>
        <w:rPr>
          <w:b/>
        </w:rPr>
        <w:t xml:space="preserve">Quelle: </w:t>
      </w:r>
      <w:r>
        <w:t>https://mcp.opencaselaw.ch/entscheid/vd_gerichte_ZD23.023114</w:t>
      </w:r>
    </w:p>
    <w:p>
      <w:r>
        <w:t>FR: VD_GERICHTE ZD23.023114 du 25 janvier 2024</w:t>
      </w:r>
    </w:p>
    <w:p>
      <w:r>
        <w:t>IT: VD_GERICHTE ZD23.023114 del 25 gennaio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w:t>
      </w:r>
    </w:p>
    <w:p>
      <w:r>
        <w:t>- 8 -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w:t>
      </w:r>
    </w:p>
    <w:p>
      <w:r>
        <w:t>- 9 -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w:t>
      </w:r>
    </w:p>
    <w:p>
      <w:r>
        <w:t>- 10 - consid. 5.2 ; 135 V 465 consid. 4.4 ; TF 8C_673/2020 du 25 juin 2021 consid. 3.5).</w:t>
      </w:r>
    </w:p>
    <w:p>
      <w:r>
        <w:rPr>
          <w:b/>
        </w:rPr>
        <w:t>E. 5</w:t>
      </w:r>
    </w:p>
    <w:p>
      <w:r>
        <w:t>a) En l’espèce, dans leur rapport bidisciplinaire du 19 décembre 2022, les Drs K.________ et F.________, du SMR, ont retenu, à titre de diagnostic principal, un trouble du rythme circadien de type libre cours (CIM-10 F51.2), appelé aussi trouble du rythme veille-sommeil non dû à une cause organique. D’après eux, ce trouble du sommeil entraînait une fatigue diurne, en particulier en première partie de journée. Globalement, le pic d’énergie intervenait entre minuit et six heures du matin, cela quels que soient les décalages de phase. Cette atteinte était, pour ces raisons, partiellement incapacitante, le rendement maximum pouvant être obtenu durant ce créneau nocturne. L’incapacité de travail se montait à 60 % dans l'activité habituelle d'aide-informaticien et dans une activité adaptée avec des horaires diurnes et à 20 % dans une activité adaptée avec des horaires de nuit. Or, ainsi qu’il ressort du rapport du 10 septembre 2018 de la Dre H.________ et du rapport du 18 septembre 2021 du Dr X.________, un trouble du rythme circadien de type libre cours se caractérise par une fatigue chronique handicapante et des troubles du sommeil de type horaires irréguliers et déstructurés. Au regard de la définition de cette pathologie, on peine dès lors à comprendre comment le recourant serait en mesure d’assumer, sur le long terme, une activité entre minuit et six heures du matin, ce à un taux de 80 %. Les conclusions formulées par les médecins du SMR relatives à la capacité de travail se révèlent d’ailleurs d’autant plus étonnantes que l’assuré avait expressément indiqué au Dr K.________, lors de l’examen psychiatrique du 19 octobre 2022, s’endormir à cette époque en fin de matinée ou en début d’après-midi pour se réveiller en soirée et que son heure d’endormissement se décalait progressivement suivant un cycle de quatre à six semaines. L’« agenda du sommeil » versé au dossier de l’intimé et celui produit avec le recours attestent de surcroît ce déphasage du rythme veille-sommeil (cf. également le rapport du 30 juin 2021 du Dr P.________, lequel signale que</w:t>
      </w:r>
    </w:p>
    <w:p>
      <w:r>
        <w:t>- 11 - le recourant présente des troubles du sommeil, avec un décalage horaire constant). Au demeurant, les Drs K.________ et F.________ n’ont proposé aucune explication convaincante quant aux motifs pour lesquels la fatigue et les troubles du sommeil exerceraient uniquement une influence sur le plan psychiatrique, respectivement entraîneraient exclusivement des limitations fonctionnelles de cet ordre, si ce n’est pour conclure à une capacité de travail plus élevée la nuit. Ils se sont à cet égard contentés d’affirmer que les différents examens menés au centre d’investigation et de recherche sur le sommeil du centre hospitalier Q.________ n’avaient jamais objectivé une origine organique à ces atteintes. Or, s’il est vrai que les investigations de la Dre H.________ n’ont pas confirmé l’existence d’une cause somatique aux troubles du sommeil, elles n’ont pas pour autant catégoriquement exclu cette hypothèse. Le Dr X.________ a pour le reste relevé, dans son rapport du 18 septembre 2021, une origine multifactorielle à la fatigue chronique. c) En outre, le rapport bidisciplinaire des médecins du SMR fait état du diagnostic – associé – de trouble mixte de la personnalité avec traits anankastiques et schizoïdes (CIM-10 F61.0), soit un diagnostic différent de celui retenu par les Dres G.________ et W.________ dans leur rapport du 20 avril 2018. L’analyse proposée par le Dr K.________ des indicateurs de l’ATF 141 V 281 ne tient toutefois pas suffisamment compte du cadre jurisprudentiel développé en la matière (cf. supra consid. 3c) et manque sérieusement de cohérence et de systématique. Ce spécialiste ne s’est ainsi pas déterminé de manière circonstanciée sur le caractère prononcé des éléments pertinents ayant servi à poser son diagnostic (cf. ATF 141 V 281 consid. 4.3.1.1), se limitant simplement à énumérer les symptômes à sa base, ni sur la cohérence du comportement de l’assuré vis-à-vis de son niveau d’activités et de ses traitements (cf. ATF 141 V 281 consid. 4.4.1 et 4.4.2), se bornant à expliquer qu’il y avait « une cohérence entre symptômes, comportement et activités quotidiennes ». Par ailleurs, il a dans un premier temps soutenu que les ressources disponibles ou mobilisables de l’assuré étaient « globalement</w:t>
      </w:r>
    </w:p>
    <w:p>
      <w:r>
        <w:t>- 12 - conservées », avant de se contredire quelques lignes plus loin, en déclarant qu’elles avaient « toujours été restreintes » et avaient « peu évolué depuis son retour de la vie militaire ». Il convient sur ce point de mentionner que le Dr X.________, dans son rapport du 18 septembre 2021, avait, lui, mis en évidence un épuisement des ressources. Au surplus, les explications données par le Dr K.________ afin de justifier le caractère partiellement incapacitant de ce diagnostic s’avèrent peu convaincantes, dans la mesure où l’on peine à comprendre comment les difficultés que rencontrent le recourant à éprouver du plaisir et sa personnalité perfectionniste impactent réellement sa capacité de travail, spécifiquement en tenant compte d’un horaire de nuit. d) Enfin, il convient de rappeler que le diagnostic de syndrome d'Ehlers-Danlos hypermobile a finalement été validé par le Dr M.________ dans son rapport du 15 novembre 2021. Les Drs K.________ et F.________ ne pouvaient donc réfuter tout caractère incapacitant à cette atteinte au seul motif qu’il ne s’agissait que d’une « suspicion » de diagnostic. e) Au vu de ce qui précède, c’est donc à tort que l’intimé a accordé une pleine valeur probante au rapport bidisciplinaire du 19 décembre 2022 du SMR, celui-ci ne satisfaisant pas aux exigences jurisprudentielles en la matière (cf. supra consid. 4b). Compte tenu des doutes importants subsistant quant aux constatations des Drs K.________ et F.________, cette autorité se devait de procéder à des investigations complémentaires et réaliser une expertise externe afin d’élucider ces contradictions.</w:t>
      </w:r>
    </w:p>
    <w:p>
      <w:r>
        <w:rPr>
          <w:b/>
        </w:rPr>
        <w:t>E. 6</w:t>
      </w:r>
    </w:p>
    <w:p>
      <w:r>
        <w:t>a) En définitive, le recours, bien fondé, doit être admis et la décision rendue le 24 avril 2023 par l’intimé annulée. La cause lui est renvoyée pour complément d’instruction et mise en œuvre d’une expertise externe comportant – à tout le moins – des volets en psychiatrie et en médecine interne (toute autre spécialité étant réservée), puis nouvelle décision dans le sens des considérants.</w:t>
      </w:r>
    </w:p>
    <w:p>
      <w:r>
        <w:t>- 13 - b) La procédure de recours en matière de contestations portant sur des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