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ZD23.021271 vom 12. Februar 2025</w:t>
      </w:r>
    </w:p>
    <w:p>
      <w:r>
        <w:t>VD Tribunal cantonal, 2025-02-12, FR</w:t>
      </w:r>
    </w:p>
    <w:p>
      <w:r>
        <w:rPr>
          <w:b/>
        </w:rPr>
        <w:t xml:space="preserve">Quelle: </w:t>
      </w:r>
      <w:r>
        <w:t>https://mcp.opencaselaw.ch/entscheid/vd_gerichte_ZD23.021271</w:t>
      </w:r>
    </w:p>
    <w:p>
      <w:r>
        <w:t>FR: VD_GERICHTE ZD23.021271 du 12 février 2025</w:t>
      </w:r>
    </w:p>
    <w:p>
      <w:r>
        <w:t>IT: VD_GERICHTE ZD23.021271 del 12 febbraio 2025</w:t>
      </w:r>
    </w:p>
    <w:p>
      <w:pPr>
        <w:pStyle w:val="Heading2"/>
      </w:pPr>
      <w:r>
        <w:t>Erwägungen</w:t>
      </w:r>
    </w:p>
    <w:p>
      <w:r>
        <w:rPr>
          <w:b/>
        </w:rPr>
        <w:t>E. 31</w:t>
      </w:r>
    </w:p>
    <w:p>
      <w:r>
        <w:t>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- 20 -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Pour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- 21 -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w:t>
      </w:r>
    </w:p>
    <w:p>
      <w:r>
        <w:t>- 22 -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5. L’OAI a mis en œuvre une expertise pluridisciplinaire, comportant un volet psychiatrique, rhumatologique et de médecine interne, qui a été confiée au Centre d'expertise D.________. Se fondant sur les conclusions des experts et les avis du SMR, il a retenu que l’assurée était capable de travailler dans son activité habituelle, qui était adaptée, à 50 %. La recourante conteste la valeur probante de l’expertise, plus particulièrement de son volet rhumatologique. a) Les experts ont retenu, au terme de leur évaluation consensuelle, que l’assurée souffrait d’une atteinte rhumatologique invalidante, à savoir une polyarthrite rhumatoïde séropositive non érosive. L’assurée présentait également la maladie de Von Willebrand, un status post zona dorsal, un status post maladie de Lyme traitée par Doxcycline, un prolapsus mitral, un asthme et des antécédents de trouble de l’adaptation, réaction dépressive, dans un contexte de maladie somatique et de séparation de couple dont le dernier épisode remontait au début de l’année 2020. Ces pathologies n’affectaient pas la capacité de travail, la capacité de travail étant entière sur le plan psychiatrique et de la médecine interne. Seule la polyarthrite rhumatoïde avait un effet sur la capacité de travail, laquelle était nulle dans l’activité habituelle de massothérapeute depuis le 22 juin 2016, soit dès les suspicions de la</w:t>
      </w:r>
    </w:p>
    <w:p>
      <w:r>
        <w:t>- 23 - maladie, même si l’assurée avait continué son activité à des pourcentages variables pour des raisons financières. Dans une activité adaptée à ses limitations fonctionnelles, à savoir sans position statique prolongée, sans effort physique, sans mouvement répétitif des articulations, en particulier des poignets et des mains, avec un port de charges non itératif limité à 2,5 kg, sans travail les membres supérieurs levés en hauteur, sans travail en position agenouillée ni accroupie ou sur une échelle ou un escabeau, sans déplacement et dans environnement tempéré, l’assurée était capable de travailler à 50 %, soit à plein temps avec une diminution de rendement de 50 % au vu des arthralgies et de la fatigue inerrantes à son affection inflammatoire. Les atteintes retenues ne sont pas contestées et sont documentées, tout comme les limitations fonctionnelles. Les experts ont formulé des conclusions claires et motivées, au terme de leur évaluation consensuelle. Ils ont au demeurant chacun effectué une évaluation dans leur spécialité qui contient une anamnèse complète, prend en compte les plaintes de l’intéressée, examine les ressources et les limitations, se fonde sur un dossier complet pour émettre des constatations circonstanciées et justifier leurs conclusions. b) Aussi, il est erroné de soutenir, comme le fait la recourante, que l’évaluation de l’experte rhumatologue se fondait essentiellement sur le rapport du Dr B.________ du 16 mai 2019, lequel ne serait pas définitif. L’experte a procédé à un examen clinique très détaillé de chacune des articulations, faisant état de ses constatations et des douleurs signalées par l’assurée. L’intéressée avait précisé que ses douleurs étaient fluctuantes, tant dans leur fréquence que leur intensité, et pouvaient toucher diverses articulations mais le plus souvent les poignets et les mains. L’experte a relevé que les radiographies des mains et des pieds dont elle disposait objectivaient l’absence d’érosion et la présence d’une rhizarthrose bilatérale, ainsi qu’une périarthrite scapulo-humérale sur tendinopathie au niveau des épaules. Aussi, à l’issue de son examen qui avait mis en évidence l’absence d’épanchement et de synovites ainsi que la présence de tuméfactions des articulations métacarpophalangiennes II</w:t>
      </w:r>
    </w:p>
    <w:p>
      <w:r>
        <w:t>- 24 - et III des deux côtés, l’experte a retenu que la polyarthrite était peu active. Elle a à ce propos relevé que le Dr B.________ avait effectué le même constat d’une maladie peu active, dans son rapport du 16 mai 2019, qu’il a confirmé par la suite le 21 août 2020. L’appréciation de l’experte se fonde dès lors sur un examen complet. Le volet rhumatologique n’apparaît en outre pas contradictoire, comme le soutient la recourante. L’experte a constaté que le traitement de Plaquenil pris par l’assurée avait permis d’améliorer la situation en supprimant les épanchements, même s’il n’avait pas fait disparaître les arthralgies. Elle a relevé que pour des raisons personnelles l’assurée ne prenait pas son traitement de Plaquenil avec rigueur, ce qui entraînait, après des arrêts du traitement, une recrudescence de la symptomatologie. En outre, comme les médecins avant elle, elle a estimé qu’un traitement de fond était susceptible d’améliorer l’état de santé. L’assurée s’y refusant depuis des années, l’experte a retenu qu’une meilleure compliance au traitement de fond pouvait être exigé d’elle. On observera encore que ce n’est qu’en août 2023, soit après réception des décisions entreprises, que l’assurée a accepté de changer son traitement et d’introduire un traitement de fond (cf. rapports du 23 novembre 2023 de la Dre W.________ et du 15 décembre 2023 de la Dre J.________). c) Les experts ont considéré que l’atteinte rhumatologique justifiait une incapacité de travail totale dans l’activité habituelle depuis le 22 juin 2016, puis une capacité de travail dans une activité adaptée à 50 % dès le 16 mai 2019, date à laquelle le Dr B.________ avait constaté pour la première fois une faible activité de la maladie. Pour la période antérieure, les experts ont par conséquent retenu que l’assurée était totalement incapable de travailler dans toutes activités. Il n’y a dès lors pas d’incohérence comme semble le soutenir la recourante. La recourante nie encore bénéficier d’une capacité de travail de 50 % dans une activité adaptée, telle que retenue par les experts, en opposant à cet avis l’appréciation de ses médecins. Il apparaît cependant que les experts, et plus particulièrement l’experte rhumatologue, ont</w:t>
      </w:r>
    </w:p>
    <w:p>
      <w:r>
        <w:t>- 25 - détaillé les rapports dont l’assurée se prévaut. C’est ainsi en connaissance de cause qu’ils ont retenu une capacité de travail de 50 %, à savoir une capacité de travail totale avec une diminution de rendement de 50 % pour tenir compte des douleurs et de la fatigue inerrantes à l’affection inflammatoire. Si l’appréciation de la capacité de travail faite par la Dre T.________ diffère de celle de l’experte, force est de constater que cette dernière se fonde sur une analyse complète et objective de la situation, ce que ne fait pas la médecin traitante. Le Dr V.________, dans son rapport du 28 août 2020, se limite quant à lui à relever une forte limitation de la capacité de travail de l’assurée dans son activité de kinésiologue, sans plus de précision. On observera que le psychiatre se prononce sur la capacité de travail sur le plan somatique alors que cela ne relève pas de sa spécialité, tandis qu’il constate une pleine capacité de travail sur le plan psychiatrique, comme l’expert psychiatre après lui. Aussi, son avis ne saurait remettre en doute les conclusions de l’expertise. Le certificat médical établi le 11 janvier 2022 par le Dr B.________, attestant une incapacité de travail de 80 %, n’est quant à lui pas étayé et ne suffit pas à faire douter des conclusions de l’expertise. Le Dr Z.________, médecin traitant, n’étaye pas davantage son appréciation dans son rapport du 2 février 2023, faisant état des douleurs articulaires « invalidantes et fluctuantes ». On ajoutera que lors de l’expertise, l’assurée avait indiqué aux experts travailler à 30 % dans son activité de thérapeute, soit à un taux plus élevé que celui attesté par ses propres médecins. L’assurée suivait en outre une formation d’une année sur la gestion du stress, ce qui contredit encore l’appréciation de sa capacité de travail de son médecin traitant. d) Les pièces produites par la recourante en cours de procédure ne viennent pas remettre en cause les conclusions de l’expertise. La recourante se prévaut des rapports de la Dre W.________ du 23 novembre 2023 et de la Dre J.________ du 15 décembre 2023. Dans son rapport, la Dre W.________ établit un statut de l’assurée, mais ne fait pas état de ses constatations cliniques. Elle rapporte une fatigue et des</w:t>
      </w:r>
    </w:p>
    <w:p>
      <w:r>
        <w:t>- 26 - douleurs, d’intensité modérée à sévère, sur la base des déclarations de sa patiente. Or les experts avaient également constaté lors de leurs examens une fatigue et pris en compte les douleurs rapportées par l’assurée, qu’elle évaluait au moins à 2-3/10 et pouvant aller à 8-9/10. Aussi, l’assurée avait déjà expliqué aux experts ce qu’elle avait mis en place dans son quotidien pour surmonter ses douleurs, de sorte que ce que rapporte la Dre W.________ n’est pas nouveau. Il n’y a pas d’éléments concrets faisant état d’une aggravation de la situation depuis l’expertise. Quant à la Dre J.________, que l’assurée consulte depuis le mois d’août 2023, elle relève dans son rapport des douleurs diffuses palpatoires et une limitation de flexion des doigts, comme constaté par l’experte rhumatologue lors de son examen clinique. Elle explique au demeurant avoir introduit, depuis une date inconnue, un traitement de fond, comme suggéré par les experts et les médecins traitants. Bien qu’évoquant une poussée de la maladie, pour des symptômes déjà constatés par les experts en 2022, la Dre J.________ ne se prononce pas sur l’effet sur la capacité de travail. Aussi, son rapport n’est pas suffisamment détaillé pour permettre de douter des conclusions de l’expertise. La recourante a encore produit des rapports des 1er mai et 7 août 2024 du Centre [...] de la Mémoire ainsi qu’un rapport du 17 juillet 2024 contenant un bilan neuropsychologique. Si des troubles cognitifs ont été mis en évidence à cette occasion, il apparaît que ceux-ci sont apparus à la suite d’une nouvelle infection au Covid-19 en septembre 2023 et juillet 2024, soit postérieurement aux décisions litigieuses. Les troubles constatés par les médecins, en juillet et août 2024, ont certes été qualifiés de recrudescence d’une symptomatologie polymorphe vécue en 2015 lors de la maladie de Lyme, mais n’étaient pas présents au moment de l’expertise. Les experts ont en effet constaté une certaine fatigue, mais sans ralentissement psychomoteur ni trouble cognitif. L’assurée était alors capable de gérer son quotidien, son administratif, se déplacer à vélo ou en transports publics, faire du Taï-chi et de la méditation, lire. Les difficultés rapportées dans les rapports du centre de la mémoire ne se retrouvaient donc pas au moment de l’expertise. Survenus postérieurement à la suite d’une nouvelle atteinte à la santé, ces troubles sortent du cadre du</w:t>
      </w:r>
    </w:p>
    <w:p>
      <w:r>
        <w:t>- 27 - présent litige et ne sauraient être pris en considération (ATF 132 V 215 consid. 3.1.1). En cas d’aggravation de son état de santé liée à son infection au Covid-19, l’assurée peut déposer une nouvelle demande de prestations. e) L’OAI pouvait en conséquence se fonder sur les conclusions probantes de l’expertise du Centre d'expertise D.________ et considérer que l’assurée était totalement incapable de travailler en raison de sa polyarthrite rhumatoïde du 22 juin 2016 au 16 mai 2019, date à laquelle elle a recouvré une capacité de travail de 50 % (capacité de travail à 100 % avec une diminution de rendement de 50 %) dans une activité adaptée. 6.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Cette méthode connaît deux sous-variantes, la méthode de comparaison en pour-cent (ATF 114 V 310 consid. 3a et les références citées) et la méthode extraordinaire de comparaison des revenus (ATF 128 V 29 consid. 1 ; TF 9C_236/2009 du 7 octobre 2009 consid. 3 et 4, in : SVR 2010 IV n° 11 p. 35). b) La comparaison des revenus s’effectue, en règle générale, en chiffrant aussi exactement que possible les montants des revenus avec et sans invalidité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c) Le revenu sans invalidité doit être évalué de la manière la plus concrète possible. Il se déduit en règle générale du salaire réalisé</w:t>
      </w:r>
    </w:p>
    <w:p>
      <w:r>
        <w:t>- 28 -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d) Quant au revenu d’invalide, il doit être évalué avant tout en fonction de la situation professionnelle concrète de l'assuré. Le revenu d’invalide d’un indépendant est, tout comme pour les salariés, celui qu’il pourrait réaliser malgré son invalidité en exerçant l’activité que l’on peut raisonnablement attendre de lui, après l’exécution d’éventuelles mesures de réadaptation et compte tenu d’une situation équilibrée du marché du travail. Lorsque l’activité exercée au sein d’une entreprise après la survenance de l’atteinte à la santé ne met pas pleinement en valeur la capacité de travail résiduelle de l’assuré, celui-ci peut être tenu, en fonction des circonstances subjectives (âge, durée d’activité, formation, genre de l’activité occupée, environnement social, domicile, etc.) et objectives (en particulier, marché du travail équilibré) de mettre fin à son activité indépendante au profit d’une activité salariée plus lucrative (TF 8C_308/2017 du 27 septembre 2017 consid. 4.1 et les références ; 9C_609/2009 du 15 avril 2010 consid. 7.2.1 ; voir dans le cas d’un agriculteur : TFA I 38/06 du 7 juin 2006 consid. 3.2 et les références). e) Dans le cas particulier d’une personne de condition indépendante, l’examen des résultats d’exploitation réalisés dans son entreprise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w:t>
      </w:r>
    </w:p>
    <w:p>
      <w:r>
        <w:t>- 29 -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8C_1/2020 du 15 octobre 2020 consid. 3.2 ; 9C_826/2017 du 28 mai 2018 consid. 5.2). 7. En l’espèce, l’OAI a considéré que l’assurée était active à 100 %, ce que celle-ci ne conteste pas. Au vu des informations transmises par l’intéressée dans les formulaires de détermination du statut, de la séparation intervenue en 2018 et de deux enfants qui étaient alors aux études, ce statut ne prête pas le flanc à la critique. Concernant le revenu sans invalidité, l’assurée soutient que son activité de massothérapeute n’était qu’accessoire. Elle allègue que, sans atteinte à la santé, c’est un emploi d’enseignante qu’elle aurait cherché, de sorte qu’il y a lieu de prendre en compte le revenu réalisé dans cette branche. Rien ne permet toutefois de retenir que, au degré de la vraisemblance prépondérante, l’assurée aurait travaillé comme enseignante si elle avait été en bonne santé. En effet, après l’obtention de son diplôme en France en 1995, la seule activité exercée dans ce domaine constitue des remplacements réalisés entre le 15 décembre 2003 et le 18 mars 2005. Après la reconnaissance de son diplôme français par les autorités vaudoises en 2005 et malgré le renouvellement de l’équivalence qu’elle a sollicité, il n’apparaît pas que l’assurée ait cherché à travailler dans cette profession, ne serait-ce qu’à mi-temps. C’est au contraire dans le domaine des soins qu’elle a décidé de créer son activité indépendante, en 2007. Elle a au demeurant suivi un nombre important de formations complémentaires au fil des années, y compris après le début de son incapacité de travail, en matière de Reiki, acupressure, naturopathie, huile essentielle, de RMT (mouvements rythmiques primaires) et NST (technique de rééquilibration posturale). Il ressort de l’expertise qu’elle suivait une formation de gestion du stress lorsqu’elle a rencontré les experts. On observera encore, alors que l’assurée a indiqué rencontrer des difficultés</w:t>
      </w:r>
    </w:p>
    <w:p>
      <w:r>
        <w:t>- 30 - financières en raison de son incapacité de travail, de sa séparation et du chômage de son époux, que c’est son activité dans les soins qu’elle a choisie d’exercer, plutôt qu’une activité d’enseignante à temps partiel. Vu ce qui précède, au degré de la vraisemblance prépondérante, l’assurée aurait poursuivi son activité dans le domaine des soins, cas échéant en cherchant un emploi en tant que salariée. Il y a donc lieu de se référer au salaire qu’un thérapeute peut réaliser, pour arrêter le revenu sans invalidité. Il ressort à cet égard de l’analyse économique pour les indépendants du 22 juillet 2022 que l’assurée n’a exercé son activité indépendante que de manière accessoire. Aussi, au vu du statut d’actif à 100 %, il n’a pas été possible pour le service de l’OAI d’extrapoler ses revenus. Le recours à l’ESS se justifiait donc, plus particulièrement les données de la branche 96, niveau de compétences 2. Le revenu sans invalidité de 49'714 fr. peut être confirmé. Concernant le revenu d’invalide, il doit être déterminé en fonction d’une capacité de travail de 50 % (capacité totale de travail et diminution de rendement de 50 % ; cf. consid. 5e ci-dessus). Est en revanche débattue la question de savoir si l’activité habituelle est adaptée. L’OAI considère en effet que l’activité habituelle de kinésiologue de l’assurée pouvait être considérée comme étant adaptée, sous réserve d’adaptations, notamment en évitant les soins nécessitant des efforts physiques conséquents. Selon les informations recueillies par l’OAI, dans le cadre de l’analyse économique pour les indépendants, l’assurée dispense toute une gamme de soins au vu des formations suivies et des informations figurant sur son site internet. Ces soins de médecine alternative sont adaptés à ses limitations fonctionnelles, l’assurée en pratiquant même certains à titre privé, comme le Tai-chi ou le Reiki. Dans ses observations du 3 avril 2023, l’OAI a précisé qu’au vu de la description de l’activité de kinésiologue retenue par l’assurance Helsana, cette activité était également adaptée aux limitations fonctionnelles de l’assurée. Selon cette description, le kinésiologue repère l’énergie qui s’écoule mal à travers le corps au moyen d’un test musculaire et cherche à rétablir l’harmonie entre le corps, l’esprit et l’âme. Ce test musculaire consiste la plupart du temps à demander au patient de lever le bras,</w:t>
      </w:r>
    </w:p>
    <w:p>
      <w:r>
        <w:t>- 31 - mentionner un sujet et appuyer sur le bras pour voir si celui-ci tombe ou maintient sa position. Ainsi, l’activité de kinésiologue est adaptée à l’état de santé de la recourante et à ses limitations fonctionnelles. La recourante ne prétend pas le contraire, se limitant à affirmer que son activité de massothérapeute n’est plus adaptée, ce que l’OAI ne soutient pas. Partant, l’OAI pouvait retenir que l’assurée disposait d’une capacité de travail de 50 % dans son activité habituelle et pouvait réaliser un revenu de 24'857 francs. Cette situation est par ailleurs plus favorable à l’assurée que si l’OAI avait tenu compte du revenu qu’elle pourrait réaliser dans une activité légère dans le domaine de la production et des services, dans l’industrie légère, les activités administratives ou de contrôle. Le revenu avec invalidité aurait alors été plus élevé (4'316 x 41,7h x 12 / 2, soit 26'996 fr. 60, à indexer en 2019) et le préjudice économique inférieur, n’ouvrant alors plus qu’un droit à un quart de rente. Aussi, au vu de l’âge de l’assurée, de ses années d’expérience dans le domaine des soins, l’OAI pouvait considérer que la meilleure mise en valeur de sa capacité résiduelle de travail était dans son activité habituelle. Partant, la décision de l’OAI reconnaissant à l’assurée le droit à une rente entière du 1er mars au 31 août 2019 puis d’une demi-rente dès le 1er septembre 2019 doit être confirmée. Dès lors que la rente pour enfant est versée comme la rente à laquelle elle se rapporte (cf. art. 35 LAI), les décisions de l’OAI des 6 juin et 7 novembre 2023 se rapportant à la rente pour l’enfant [...], née en 1996, et [...], née en 1998, doivent être confirmées. 8. Vu ce qui précède, les recours doivent être rejetés et les décisions entreprises confirmées.</w:t>
      </w:r>
    </w:p>
    <w:p>
      <w:r>
        <w:t>- 32 -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