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ZD23.020994 vom 15. April 2025</w:t>
      </w:r>
    </w:p>
    <w:p>
      <w:r>
        <w:t>VD Tribunal cantonal, 2025-04-15, FR</w:t>
      </w:r>
    </w:p>
    <w:p>
      <w:r>
        <w:rPr>
          <w:b/>
        </w:rPr>
        <w:t xml:space="preserve">Quelle: </w:t>
      </w:r>
      <w:r>
        <w:t>https://mcp.opencaselaw.ch/entscheid/vd_gerichte_ZD23.020994</w:t>
      </w:r>
    </w:p>
    <w:p>
      <w:r>
        <w:t>FR: VD_GERICHTE ZD23.020994 du 15 avril 2025</w:t>
      </w:r>
    </w:p>
    <w:p>
      <w:r>
        <w:t>IT: VD_GERICHTE ZD23.020994 del 15 aprile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(art. 29 al. 1 LAI).</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- 12 -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w:t>
      </w:r>
    </w:p>
    <w:p>
      <w:r>
        <w:t>- 13 -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- 14 - résistance à un traitement conduit dans les règles de l’art (ATF 141 V 281 consid. 4.3 et 4.4).</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l’espèce, l’intimé, se fondant sur les conclusions de l’expertise pluridisciplinaire du D.________Sàrl du 5 septembre 2022, a estimé que la recourante disposait d’une capacité de travail nulle dans son activité habituelle et d’une capacité de travail entière dans une activité adaptée à ses limitations fonctionnelles dès le 7 janvier 2022. Quant à la recourante, elle remet en cause le bien-fondé de cette appréciation, plus particulièrement la valeur probante de l’expertise. b) A titre liminaire, il convient de retenir que, sur le plan formel, le rapport d’expertise remplit tous les réquisits jurisprudentiels permettant de lui reconnaître une pleine valeur probante. En effet, l’état de santé de la recourante a fait l’objet d’un examen circonstancié par les experts spécialistes, l’expertise a été établie en pleine connaissance des</w:t>
      </w:r>
    </w:p>
    <w:p>
      <w:r>
        <w:t>- 15 - éléments médicaux au dossier et se fonde sur des examens cliniques menés par chaque expert dans son domaine (consultations et examens de laboratoire notamment). Elle prend par ailleurs en compte les plaintes de l’expertisée. Les différents avis médicaux ont été discutés par les experts, ces derniers examinant en outre les ressources, la gravité des troubles retenus ainsi que la cohérence. Tant la description du contexte médical que l’appréciation de la situation médicale sont claires. Les conclusions médicales sont le fruit d’une analyse pluridisciplinaire réalisée par les trois experts et sont bien motivées (cf. ATF 134 V 231 consid. 5.1 ; 125 V 351 consid. 3a ; TF 8C_510/2020 du 15 avril 2021 consid. 2.4). c) Pour l’essentiel, l’argumentation de la recourante se limite à rappeler qu’elle souffre de douleurs aux pieds, aux genoux et au dos, auxquelles viennent s’ajouter un syndrome de Takotsubo et des atteintes à sa santé mentale. A l’appui de son recours, elle a produit divers rapports médicaux établis par ses différents médecins traitants dont elle prétend qu’ils remettent en cause la valeur probante de l’expertise. A cet égard, il convient de relever les éléments suivants. aa) S’agissant des rapports établis par le Dr P.________ le 14 février 2023, par le Dr L.________ le 9 mars 2023 et par le Dr J.________ le 21 mars 2023, ils ne font que rappeler les diagnostics posés, les douleurs ressenties par la recourante et leur évaluation de sa capacité de travail. Comme l’a relevé le SMR dans son avis médical du 11 avril 2023, ils ne comportent aucun élément médical objectif nouveau ou qui aurait été ignoré des experts. S’agissant plus particulièrement de l’évaluation de la capacité de travail, elle n’est aucunement étayée et ne constitue qu’une appréciation différente d’un même état de fait, étant rappelé que le rapport de confiance qui lie les médecins traitants à leur patient les placent dans une position délicate pour constater des faits sur le plan assécurologique. Concernant en outre l’incapacité de la recourante à rester en position assise plus d’une heure, elle ne se fonde que sur les déclarations de la recourante elle-même et non sur des éléments médicaux objectifs. A cet égard, c’est le lieu de rappeler que le rapport d’IRM cervicale et dorsale du 26 mai 2023 indique que la recourante ne</w:t>
      </w:r>
    </w:p>
    <w:p>
      <w:r>
        <w:t>- 16 - souffre ni de hernie discale, ni d’un canal cervical ou dorsal étroit, ni d’un tassement vertébral et que les altérations dégénératives sont modérées. Les trois rapports des médecins traitants ne sont ainsi pas propres à remettre en cause le bien-fondé des conclusions des experts ou à en établir le caractère incomplet, notamment quant aux limitations fonctionnelles retenues. bb) Concernant le rapport radiologique établi le 26 mai 2023 par le Dr S.________, il en ressort que l’IRM cervicale et dorsale a mis en évidence une rectitude cervicale, une scoliose dorsale supérieure modérée et une légère hypercyphose dorsale supérieure. Pour le reste, elle n’a révélé ni hernie discale, ni canal cervical ou dorsal étroit, ni tassement vertébral. Le Dr S.________ a, par ailleurs, indiqué que les altérations dégénératives étaient modérées. Quant au rapport médical établi le 28 juin 2023 par le Dr Q.________, relatif à une IRM du genou droit, il a mis en évidence une arthrose fémoro-patellaire et fémoro-tibiale médiale évoluée, une discrète fissure horizontale de la corne postérieure avec extrusion du ménisque interne de 3-4 mm et un kyste poplité mesurant jusqu’à 6 cm cranio-caudale sans signe de rupture. Les différents médecins précités ne se prononcent ni sur les limitations fonctionnelles, ni sur la capacité de travail. En particulier, il ne ressort pas des rapports susmentionnés que la recourante serait incapable de rester assise plus d’une heure, comme elle le soutient. S’agissant des atteintes du genou droit, les experts avaient déjà fait état d’une gonarthrose et de douleurs dans cette articulation. Comme l’a retenu l’avis médical du SMR du 4 août 2023, les atteintes dégénératives constatées par le Dr S.________ sont qualifiées de modérées et les limitations fonctionnelles déjà retenues tiennent suffisamment compte des atteintes dont il est fait état dans les deux rapports médicaux susmentionnés. Ils ne permettent ainsi pas d’établir l’existence d’éléments nouveaux suffisamment pertinents pour remettre en cause le bien-fondé des conclusions des experts. d) S’agissant des problèmes de santé mentale dont la recourante fait état, elle ne produit aucune pièce à cet égard. Il suffit de renvoyer à ce sujet à l’expertise qui n’a conclu à l’existence d’aucun</w:t>
      </w:r>
    </w:p>
    <w:p>
      <w:r>
        <w:t>- 17 - diagnostic incapacitant du registre psychiatrique. Cela étant, la recourante soutient que sa souffrance psychique a encore augmenté depuis la décision attaquée. Outre que cet élément est postérieur à la décision et donc exorbitant à l’objet de la contestation, on relèvera qu’une décompensation passagère après la réception des conclusions d’une expertise ou d’une décision de l’OAI ne permet pas la reconnaissance d’une atteinte durablement invalidante, d’autant plus qu’elle résulte d’un facteur non médical étranger à la notion d’invalidité (ATF 127 V 294 consid. 5a). e) Enfin, dans son écriture du 3 octobre 2023, la recourante fait état d’une opération par by-pass gastrique qu’elle aurait subie « récemment » et d’un kyste ovarien dont elle devait se faire opérer la semaine suivante, ainsi que d’une dégradation de son état psychologique. Ces éléments sont postérieurs à la décision attaquée et il ne peut en être tenus compte dans la présente procédure, étant rappelé que la recourante peut, en cas d’aggravation de son état de santé, déposer une nouvelle demande auprès de l’OAI. f) En définitive, l’appréciation faite par les experts du D.________Sàrl de la situation médicale de la recourante est claire et convaincante, sans qu’il n’existe au dossier d’éléments antérieurs à la décision attaquée, justifiant de s’éloigner de leurs conclusions. g) Sur le vu de ce qui précède, il convient de reconnaître une pleine valeur probante au rapport d’expertise établi le 5 septembre 2022 par le D.________Sàrl, dont la Cour de céans n’a aucun motif de s’écarter. Partant, il sied de suivre les conclusions des experts et de retenir que la recourante présente, depuis le 8 janvier 2022, une capacité de travail de 100% dans une activité adaptée aux limitations fonctionnelles retenues, à savoir pas de station debout prolongée, pas de déplacements fréquents, pas de montée d’escaliers, pas de port de charges, fatigue et fatigabilité légères.</w:t>
      </w:r>
    </w:p>
    <w:p>
      <w:r>
        <w:rPr>
          <w:b/>
        </w:rPr>
        <w:t>E. 7</w:t>
      </w:r>
    </w:p>
    <w:p>
      <w:r>
        <w:t>La recourante fait grief à l’intimé d’avoir estimé qu'on pouvait exiger d'elle qu’elle mette en œuvre sa capacité de travail résiduelle sur le</w:t>
      </w:r>
    </w:p>
    <w:p>
      <w:r>
        <w:t>- 18 - marché de l’emploi. Elle invoque ses nombreuses et importantes limitations fonctionnelles et son manque de qualification.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9C_426/2020 du 29 avril 2021 consid. 5.2 ;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w:t>
      </w:r>
    </w:p>
    <w:p>
      <w:r>
        <w:t>- 19 - d’autant plus approfondie que le profil d’exigibilité est défini de manière restrictive (TF 8C_240/2021 du 15 septembre 2021 consid. 3 ; 8C_95/2020 du 14 mai 2020 consid. 5.2.2). b) En l’occurrence, l’intimé a retenu que la recourante pourrait mettre sa capacité de travail résiduelle en valeur dans un travail simple dans le domaine industriel léger, par exemple montage, contrôle ou surveillance d'un processus de production ou comme aide-administrative. Ces activités sont compatibles avec les limitations fonctionnelles que présente la recourante, ce qui satisfait aux exigences de la jurisprudence par rapport à la concrétisation des postes exigibles (cf. notamment TF 8C_772/2020 du 9 juillet 2021 consid. 3.3 et les références citées). On ne voit au surplus pas que ces activités ne puissent être exercées par la recourante que sous une forme tellement restreinte qu'elles n'existeraient quasiment pas sur le marché général du travail ou que leur exercice impliquerait de l'employeur des concessions excessives. On observe encore que les activités existant dans le domaine industriel léger telles que susmentionnées ne requièrent pas de formation particulière ni d’expérience spécifique, de sorte que l’on peut considérer qu’elles sont accessibles à la recourante et le manque de qualification dont elle se prévaut n’est, à cet égard, pas pertinent. c) Pour le surplus, la recourante était âgée de 54 ans au moment où l’intimé a constaté que l’exercice d’une activité professionnelle était médicalement exigible. Elle n’avait donc pas atteint l’âge à partir duquel le Tribunal fédéral admet qu’il peut être plus difficile de se réinsérer sur le marché du travail (ATF 143 V 431 consid. 4.5.2 ; 138 V 457 consid. 3.3 ; cf. aussi TF 9C_195/2019 du 11 juin 2019 consid. 5.3.2). d) Au vu de ce qui précède, l'intimé n'a pas violé le droit fédéral lorsqu'il a retenu que la mise en œuvre de sa capacité de travail dans une activité adaptée à ses limitations fonctionnelles était raisonnablement exigible de la recourante.</w:t>
      </w:r>
    </w:p>
    <w:p>
      <w:r>
        <w:t>- 20 -</w:t>
      </w:r>
    </w:p>
    <w:p>
      <w:r>
        <w:rPr>
          <w:b/>
        </w:rPr>
        <w:t>E. 8</w:t>
      </w:r>
    </w:p>
    <w:p>
      <w:r>
        <w:t>Sur le plan économique, la recourante ne conteste pas les revenus sans et avec invalidité retenus par l’intimé, le recours à l’Enquête suisse sur la structure des salaires ou le calcul du taux d’invalidité. A cet égard, on pourra relever que l’intimé semble avoir tenu compte, dans le revenu sans invalidité, du versement d’un treizième salaire (cf. rapport final du service de réadaptation du 12 janvier 2023), alors qu’il ne ressort ni du rapport employeur du 11 janvier 2022, ni des comptes de salaire produits avec celui-ci que la recourante percevait un tel treizième salaire. Quoi qu’il en soit, ce point n’a pas à être tranché en l’espèce, dans la mesure où le retranchement d’un treizième salaire du revenu sans invalidité de la recourante aboutirait à un taux d’invalidité encore inférieur au taux de 19,18% retenu par l’intimé et ne changerait rien au fait que celle-ci n’a pas droit à une rente.</w:t>
      </w:r>
    </w:p>
    <w:p>
      <w:r>
        <w:rPr>
          <w:b/>
        </w:rPr>
        <w:t>E. 9</w:t>
      </w:r>
    </w:p>
    <w:p>
      <w:r>
        <w:t>S’agissant d’une éventuelle mesure de reclassement, la capacité de gain de la recourante n’a pas diminué de plus de 20 % (son taux d’invalidité étant de 19,18% au mieux) ce qui n’ouvre pas de droit à un reclassement professionnel (art. 17 al. 1 LAI ; ATF 139 V 399 consid. 5.3). Au demeurant, quand bien même la recourante remplirait cette condition, il faut constater que de nombreuses activités adaptées à ses limitations fonctionnelles ne nécessitent pas de formation particulière (activités légères visées par l’ESS, skill_level, niveau de compétence 1 ; cf. TF 9C_486/2022 du 17 août 2023 consid. 8). Elle ne pourrait ainsi, quoi qu’il en soit, pas prétendre à une telle mesure. C’est le lieu de rappeler qu’elle a été mise au bénéfice d’une aide au placement au sens de l’art. 18 LAI, conformément à la communication de l’intimé du 13 janvier 2023.</w:t>
      </w:r>
    </w:p>
    <w:p>
      <w:r>
        <w:rPr>
          <w:b/>
        </w:rPr>
        <w:t>E. 10</w:t>
      </w:r>
    </w:p>
    <w:p>
      <w:r>
        <w:t>Le dossier est complet et permet à la Cour de céans de statuer en pleine connaissance de cause. Il n’y a dès lors pas lieu de compléter l’instruction par la mise en œuvre d’une nouvelle expertise. Une telle mesure ne serait pas de nature à modifier les considérations qui précèdent, les faits pertinents ayant pu être constatés à satisfaction de droit (appréciation anticipée de la pertinence des preuves : ATF 145 I 167</w:t>
      </w:r>
    </w:p>
    <w:p>
      <w:r>
        <w:t>- 21 - consid. 4.1 ; 140 I 285 consid. 6.3.1). La requête de la recourante en ce sens doit ainsi être rejetée.</w:t>
      </w:r>
    </w:p>
    <w:p>
      <w:r>
        <w:rPr>
          <w:b/>
        </w:rPr>
        <w:t>E. 11</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