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ZD23.018876 vom 28. Oktober 2024</w:t>
      </w:r>
    </w:p>
    <w:p>
      <w:r>
        <w:t>VD Tribunal cantonal, 2024-10-28, FR</w:t>
      </w:r>
    </w:p>
    <w:p>
      <w:r>
        <w:rPr>
          <w:b/>
        </w:rPr>
        <w:t xml:space="preserve">Quelle: </w:t>
      </w:r>
      <w:r>
        <w:t>https://mcp.opencaselaw.ch/entscheid/vd_gerichte_ZD23.018876</w:t>
      </w:r>
    </w:p>
    <w:p>
      <w:r>
        <w:t>FR: VD_GERICHTE ZD23.018876 du 28 octobre 2024</w:t>
      </w:r>
    </w:p>
    <w:p>
      <w:r>
        <w:t>IT: VD_GERICHTE ZD23.018876 del 28 ottobre 2024</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aa)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- 8 - moins 40 % en moyenne durant une année sans interruption notable et si, au terme de cette année, il est invalide à 40 % au moins (art. 28 al. 1 LAI). bb)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[dans sa teneur en vigueur au 31 décembre 2021]). Lorsque la personne assurée dispose encore d’une capacité de travail dans son activité habituelle, le taux d’invalidité est identique au taux de l’incapacité de travail (application de la méthode de la comparaison en pour-cent ; TF 9C_888/2011 du 13 juin 2012 consid. 4.4 ; TF 9C_137/2010 du 19 avril 2010 ; TF 9C_396/2009 du 12 février 2010 consid. 3.2). cc) L’invalidité des assurés n’exerçant pas d’activité lucrative et dont on ne peut raisonnablement exiger qu’ils en entreprennent une est évaluée en fonction de leur incapacité à accomplir leurs travaux habituels (méthode « spécifique » d’évaluation de l’invalidité ; art. 8 al. 3 LPGA et 28a al. 2 LAI [dans sa teneur en vigueur au 31 décembre 2021]). Par travaux habituels, il faut en principe entendre l’activité usuelle dans le ménage, ainsi que les soins et l’assistance aux proches (art. 27 al. 1 RAI [règlement du 17 janvier 1961 sur l’assurance-invalidité ; RS 831.201] ; cf. Margit Moser-Szeless, in Dupont/Moser-Szeless [édit.], Loi sur la partie générale des assurances sociales, Commentaire romand, Bâle 2018, n° 52 ad art. 16 LPGA). dd) Pour les personnes qui exercent une activité lucrative à temps partiel ou travaillent sans être rémunérées dans l’entreprise de leur conjoint, d’une part, et qui accomplissent par ailleurs des travaux habituels aux sens des art. 8 al. 3 LPGA et 28a al. 2 LAI (dans sa teneur en vigueur au 31 décembre 2021), d’autre part, il convient d’abord de</w:t>
      </w:r>
    </w:p>
    <w:p>
      <w:r>
        <w:t>- 9 - déterminer quelle part de son temps, exprimée en pourcentage, la personne assurée aurait consacrée à l’exercice de son activité lucrative ou à l’entreprise de son conjoint, sans atteinte à la santé, et quelle part de son temps elle aurait consacrée à ses travaux habituels. Le taux d’invalidité en lien avec l’exercice de l’activité lucrative ou de l’activité dans l’entreprise du conjoint est établi conformément aux art. 16 LPGA et 28a al. 1 LAI (dans sa teneur en vigueur au 31 décembre 2021 ; comparaison des revenus), étant toutefois précisé que le revenu qui aurait pu être obtenu de cette activité à temps partiel est extrapolé pour la même activité exercée à plein temps. Le taux d’invalidité pour la part de son temps consacrée par la personne assurée à ses travaux habituels est établi conformément aux art. 8 al. 3 LPGA et 28a al. 2 LAI (dans sa teneur en vigueur au 31 décembre 2021 ; méthode spécifique). Les taux d’invalidité ainsi calculés sont ensuite pondérés en proportion de la part du temps consacrée à chacun des deux domaines d’activité, avant d’être additionnés pour fixer le taux d’invalidité globale. C’est la méthode mixte d’évaluation de l’invalidité (art. 28a al. 3 LAI et 27bis al. 2 à 4 RAI [dans leur teneur en vigueur au 31 décembre 2021]). ee)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c) aa) Les affections psychiques, les affections psychosomatiques et les syndromes de dépendance à des substances psychotropes doivent en principe faire l’objet d’une procédure probatoire structurée (ATF 145 V 215 ; 143 V 418 consid. 6 et 7 ; 141 V 281 et les références citées). bb) Il convient en premier lieu que l’atteinte soit diagnostiquée par l’expert selon les règles de l’art (ATF 141 V 281 consid. 2.1.2 et 2.2).</w:t>
      </w:r>
    </w:p>
    <w:p>
      <w:r>
        <w:t>- 10 -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w:t>
      </w:r>
    </w:p>
    <w:p>
      <w:r>
        <w:t>- 11 -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w:t>
      </w:r>
    </w:p>
    <w:p>
      <w:r>
        <w:t>- 12 -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e) aa) Une enquête ménagère effectuée au domicile de la personne assurée (cf. art. 69 al. 2 RAI) constitue en règle générale une</w:t>
      </w:r>
    </w:p>
    <w:p>
      <w:r>
        <w:t>- 13 -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(ATF 133 V 504 consid. 4.2 et les références citées ; TF 9C_568/2017 du 11 janvier 2018 consid. 5.4). bb) Même si, compte tenu de sa nature, l’enquête économique sur le ménage est en premier lieu un moyen approprié pour évaluer l’étendue d’empêchements dus à des limitations physiques, elle garde cependant valeur probante lorsqu’il s’agit d’estimer les empêchements que la personne assurée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w:t>
      </w:r>
    </w:p>
    <w:p>
      <w:r>
        <w:t>- 14 - l’enquête à domicile. Une telle priorité de principe est justifiée par le fait qu’il est souvent difficile pour la personne chargée de l’enquête à domicile de reconnaître et d’apprécier l’ampleur de l’atteinte psychique et les empêchements en résultant (TF 9C_925/2013 du 1er avril 2014 consid. 2.2 et les références citées).</w:t>
      </w:r>
    </w:p>
    <w:p>
      <w:r>
        <w:rPr>
          <w:b/>
        </w:rPr>
        <w:t>E. 5</w:t>
      </w:r>
    </w:p>
    <w:p>
      <w:r>
        <w:t>a) En l’espèce, l’intimé a considéré que la recourante avait un statut mixte depuis 2017, constitué d’une part active et d’une part ménagère de 50 % chacune. Il s’est à ce titre référé au rapport de l’enquêtrice à domicile du 28 novembre 2022, laquelle a retenu ce statut sur la base des déclarations de l’assurée, qu’elle a jugé claires et cohérentes. b) Aussi, ce statut mixte – lequel n’a d’ailleurs pas été contesté par la recourante nonobstant ses premières déclarations du 2 mars 2020 – apparaît vraisemblable au regard du fait que, notamment, cette dernière a plusieurs enfants en bas âge à sa charge et vit dans un grand appartement. Il y a en conséquence lieu de confirmer cette clé de répartition.</w:t>
      </w:r>
    </w:p>
    <w:p>
      <w:r>
        <w:rPr>
          <w:b/>
        </w:rPr>
        <w:t>E. 6</w:t>
      </w:r>
    </w:p>
    <w:p>
      <w:r>
        <w:t>a) En ce qui concerne la part active du statut de la recourante, le Dr I.________ a mis en évidence, dans son rapport d’expertise du</w:t>
      </w:r>
    </w:p>
    <w:p>
      <w:r>
        <w:rPr>
          <w:b/>
        </w:rPr>
        <w:t>E. 9</w:t>
      </w:r>
    </w:p>
    <w:p>
      <w:r>
        <w:t>février 2022, le diagnostic – incapacitant – d’anxiété généralisée (CIM-10 F41.1 ; présente depuis 2014) et les diagnostics – non-incapacitants et existant depuis l'adolescence – de personnalité dépendante (CIM-10 F60.7) et de personnalité anxieuse (CIM-10 F60.6). Il a attesté une capacité de travail résiduelle de 75 % depuis mai 2014 dans une activité adaptée et dans l’activité habituelle, tout en spécifiant que cette dernière constituait une telle activité adaptée. Au titre des limitations fonctionnelles, il a prohibé tout emploi générant du stress et nécessitant d’entretenir des contacts avec le public ; il a par ailleurs relevé – à l’aide de la Mini CIF-APP – des faiblesses dans la flexibilité et les capacités d'adaptation, une diminution de la capacité d'endurance, de l’aptitude à évoluer au sein d'un groupe et de la capacité de jugement et de prise de position de même qu’une altération de l’aptitude à s'affirmer.</w:t>
      </w:r>
    </w:p>
    <w:p>
      <w:r>
        <w:t>- 15 - b) Cela étant, rien ne permet de s’écarter des conclusions de cette expertise. Les points litigieux ont en effet fait l’objet d’une étude circonstanciée. A cet égard, le Dr I.________ s’est prononcé sur les différentes appréciations dont a fait part le Dr S.________ entre 2020 et 2021, expliquant notamment que le diagnostic de trouble anxio-dépressif devait être écarté au profit de celui d’anxiété généralisée au vu de l'importance prédominante de l'anxiété sur la symptomatologie dépressive, laquelle était d’ailleurs actuellement légère, traitée et sans incidence sur la capacité de travail ; il en était de même du diagnostic de trouble de la personnalité mixte à traits émotionnellement instables et dépendants, dès lors que les diagnostics de personnalité anxieuse et dépendante s’avéraient plus précis et que l’assurée ne montrait pas d’impulsivité, excluant ainsi une personnalité émotionnellement labile. Le rapport de l’expert s’est en outre fondé sur des examens psychiques complets et a été établi en pleine connaissance du dossier. Les plaintes de la recourante, en particulier celles en lien avec son anxiété, ont été prises en compte. La situation sur le plan médical a de surcroît été décrite de façon claire. Les conclusions relatives aux diagnostics et à la capacité de travail ont enfin été motivées à satisfaction à l’aune des exigences jurisprudentielles en matière de troubles psychiques (cf. supra consid. 3c). Sur ce dernier point, le Dr I.________ a principalement exposé que la recourante souffrait d’une anxiété généralisée depuis la naissance de son premier enfant, en [...]. Celle-ci se manifestait sous la forme de difficultés à respirer, d’une hypersudation, d’une sensation d’une « boule au ventre » et parfois de troubles du transit intestinal et d’une sensation de malaise général, cela plusieurs fois par jour, lorsqu’elle pensait à ce qui pouvait lui arriver à elle ou à ses enfants. L'anxiété généralisée était actuellement jugée légère à moyenne, en l'absence de traitement adéquat. Le Dr S.________ avait prescrit un antidépresseur, qui avait récemment été remplacé par un régulateur de l'humeur. Cette option thérapeutique démontrait de cette façon que l'anxiété permanente rapportée par la recourante n’était pas aussi grave qu'elle ne le pensait. Les troubles de la personnalité ne l’avaient, pour leur part, pas empêché</w:t>
      </w:r>
    </w:p>
    <w:p>
      <w:r>
        <w:t>- 16 - de travailler avant 2013. Quant au succès du traitement et de la réadaptation, seule la prise d’un traitement phytothérapeutique avait été préconisée par ce spécialiste, malgré les angoisses. La mise en place d’un anxiolytique de type Benzodiazépine était toutefois susceptible de mieux cibler la symptomatologie et de permettre une reprise du travail. Par contre, aucune mesure de réadaptation n'avait été mise en place pour l’instant. S’agissant des comorbidités, l’expert a jugé « non pertinent » le point relatif à l’interaction entre les diagnostics. En ce qui concerne la personnalité de la recourante, le Dr I.________ a souligné un sens des réalités et une capacité de jugement ainsi qu’une capacité relationnelle et une aptitude à nouer des contacts non altérés. L’assurée présentait en revanche des difficulté à contrôler ses réactions affectives, une intentionnalité et un dynamisme extrêmement variable en fonction de l’anxiété et une estime de soi et une capacité de régression altérées, excepté lorsque sa tâche consistait à aider les autres. Son comportement face à la maladie était de demander de l’aide et son système de défense se résumait à se reposer sur les autres. Au sujet du contexte social, l’expert psychiatre a déclaré que la recourante pouvait compter sur le soutien de sa famille, à l'exclusion de son ex-conjoint, père de ses enfants. Au final, il a fait état d’importantes ressources personnelles chez l’assurée, dans la mesure où celle-ci vivait de manière autonome avec ses enfants dans un logement de 120 m2 et où elle s’occupait seule de ces derniers, en les amenant à l’école, en les lavant, en leur préparant leur repas et en jouant avec eux. Sur le plan de la cohérence, le Dr I.________ a indiqué, d’une part, que la recourante arrivait à s'occuper de ses enfants, quand bien même elle peinait à s'organiser dans sa vie quotidienne et à mettre des priorités, qu’elle se sentait vite débordée et dépassée dès qu'elle devait se rendre à un rendez-vous dans la journée et qu’elle subissait souvent des crises d'angoisse. D’autre part, elle restait très attachée aux différentes aides qui lui étaient prodiguées par son psychiatre, sa psychologue et son infirmière en psychiatrie. c) Au vu de ce qui précède, il convient donc d’accorder une pleine valeur probante au rapport d’expertise du 9 février 2022 du Dr I.________ et, de ce fait reconnaître à la recourante – pour sa part active</w:t>
      </w:r>
    </w:p>
    <w:p>
      <w:r>
        <w:t>- 17 - – une capacité de travail de 75 % dans tout type d’activité. Le rapport du 2 mars 2023 du Dr S.________ et de Mme B.________ ne saurait à cet égard remettre en doute les conclusions de ce spécialiste. Le diagnostic de cyclothymie (CIM-10 F34.0) n’a certes pas été posé en tant que tel par l’expert psychiatre. Ce dernier a cependant mentionné une humeur fluctuante selon les jours, voire les heures, tout en précisant qu’il s’agissait de symptômes dépressifs, lesquels étaient traités depuis juillet 2020. Au demeurant, comme l’a relevé à juste titre la Dre W.________ dans son avis du 20 mars 2023, le Dr S.________ et Mme B.________ ont répertorié les mêmes limitations fonctionnelles que celles mises en évidence depuis 2020 dans leurs précédents rapports, à savoir notamment des difficultés à gérer les émotions et le stress, des pertes d’appétit, des troubles du sommeil, une grande fatigabilité, une perte de confiance et de motivation et une tendance au repli social. Aussi, ces limitations ont été prises en compte par le Dr I.________ dans son analyse. Le diagnostic de trouble de la personnalité borderline (CIM-10 F60.31) n’a enfin nullement été motivé par le psychiatre traitant. 6. a) Quant à la part ménagère du statut de la recourante, l’évaluatrice à domicile n’a constaté, dans son rapport du 28 novembre 2022, aucun empêchement pour les tâches liées à l’alimentation ni pour celles relatives aux soins apportés aux enfants et à l’extérieur du domicile. L’assurée était en revanche restreinte dans les travaux consistant à entretenir l’appartement, à réaliser des courses de même qu’à laver et entretenir les vêtements. Les empêchements ménagers ont été estimés à 13,2 % (pour un 100 %). b) Cela étant, aucun grief à l’encontre de l’enquête ménagère n’a été soulevé par la recourante, laquelle s’est cantonnée, dans ses différentes écritures, à contester la validité du rapport d’expertise du Dr I.________. Le rapport de l’évaluatrice a domicile remplit de surcroît les réquisits jurisprudentiels permettant de lui reconnaître une pleine valeur probante (cf. supra consid. 4e), de sorte que ses conclusions doivent être validées.</w:t>
      </w:r>
    </w:p>
    <w:p>
      <w:r>
        <w:t>- 18 - 7. a) Dans la mesure où la recourante présente une incapacité de travail de 75 % sur la part active de 50 % – cela singulièrement dans son activité habituelle – et une incapacité de 13,2 % sur la part ménagère, laquelle se monte également à 50 %, le degré d’invalidité global résultant des deux domaines est le suivant : Activité Part Empêchement Degré partielle d’invalidité active 50 % 25 % 12,5 % ménagère 50 % 13,2 % 6,6 % Taux d’invalidité global : 19,1 % Le taux d’invalidité global de la recourante de 19,1 % – arrondi à 19 % – est inférieur au seuil de 40 %, fixé à l’art. 28 al. 1 LAI, ouvrant le droit à une rente de l’assurance-invalidité (cf. supra consid. 3b/aa). C’est dès lors à juste titre que l’intimé a refusé à l’assurée le versement de cette prestation. 8. a) En définitive, le recours, mal fondé, doit être rejeté et la décision rendue le 21 mars 2023 par l'intimé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d) La partie recourante a été mise au bénéfice de l’assistance judiciaire par décisions des 5 mai et 10 août 2023 de la Juge instructrice, avec effet respectivement au 2 mai et 10 juillet 2023. Les frais judiciaires mis à sa charge ci-avant sont donc provisoirement supportés par l’Etat et Me Pierre-Yves Brandt peut prétendre à une équitable indemnité pour son</w:t>
      </w:r>
    </w:p>
    <w:p>
      <w:r>
        <w:t>- 19 - mandat d’office, qu’il convient de fixer à 1'300 fr., débours et TVA compris (art. 2, 3 al. 2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 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