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ZD23.016828 vom 10. Januar 2024</w:t>
      </w:r>
    </w:p>
    <w:p>
      <w:r>
        <w:t>VD Tribunal cantonal, 2024-01-10, FR</w:t>
      </w:r>
    </w:p>
    <w:p>
      <w:r>
        <w:rPr>
          <w:b/>
        </w:rPr>
        <w:t xml:space="preserve">Quelle: </w:t>
      </w:r>
      <w:r>
        <w:t>https://mcp.opencaselaw.ch/entscheid/vd_gerichte_ZD23.016828</w:t>
      </w:r>
    </w:p>
    <w:p>
      <w:r>
        <w:t>FR: VD_GERICHTE ZD23.016828 du 10 janvier 2024</w:t>
      </w:r>
    </w:p>
    <w:p>
      <w:r>
        <w:t>IT: VD_GERICHTE ZD23.016828 del 10 gennaio 2024</w:t>
      </w:r>
    </w:p>
    <w:p>
      <w:pPr>
        <w:pStyle w:val="Heading2"/>
      </w:pPr>
      <w:r>
        <w:t>Erwägungen</w:t>
      </w:r>
    </w:p>
    <w:p>
      <w:r>
        <w:rPr>
          <w:b/>
        </w:rPr>
        <w:t>E. 4</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w:t>
      </w:r>
    </w:p>
    <w:p>
      <w:r>
        <w:t>- 13 - demeurée pour l’essentiel inchangée ne constitue pas un motif de révision (ATF 147 V 167 consid. 4.1 ; 141 V 9 consid. 2.3).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w:t>
      </w:r>
    </w:p>
    <w:p>
      <w:r>
        <w:t>- 14 - déterminant pour la valeur probante, n’est ni l’origine du moyen de preuve, ni sa désignation comme rapport ou comme expertise, mais bel et bien son contenu (ATF 134 V 231 consid. 5.1 ; 125 V 351 consid. 3a ; TF 8C_510/2020 du 15 avril 2021 consid. 2.4).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Il s’agit, en l’occurrence, de déterminer si la situation du recourant s’est modifiée – au point d’influencer son droit à des prestations d’invalidité – depuis la décision du 14 octobre 2016, par laquelle l’OAI avait rejeté sa précédente demande sur la base d’un examen matériel du droit aux prestations. L’OAI s’était alors fondé sur l’expertise réalisée par la Dre Z.________, à la demande de l’assureur perte de gain maladie du recourant. L’experte rhumatologue avait retenu l’existence de troubles dégénératifs étagés au niveau lombaire et une irritation par compression de la racine nerveuse L5, en raison d’une possible hernie discale L4-L5, diagnostics qui contre-indiquaient le travail en porte-à-faux prolongé et limitaient le port de charges, mais permettaient l’exercice d’une activité à plein temps. Elle avait également posé le diagnostic d’inflammation du tendon du muscle moyen glutéal gauche à son insertion trochantérienne, qu’elle estimait sans influence sur la capacité de travail. Sur la base de cette expertise, le SMR avait retenu l’existence d’une pleine capacité de travail dans une activité adaptée à compter de la date de l’expertise, le 29 avril 2016, dans un poste permettant l’alternance des positions, sans manipulations de</w:t>
      </w:r>
    </w:p>
    <w:p>
      <w:r>
        <w:t>- 15 - charges de plus de 7 à 10 kg, sans déplacement en terrain irrégulier, sans travail à genou et/ou en station accroupie, sans position du tronc tenue en porte-à-faux, sans flexions-rotations répétées du tronc et répartie harmonieusement sur cinq jours. Lors de l’expertise, l’assuré s’était plaint de douleurs au pied gauche (expertise p. 13). La Dre Z.________ avait constaté une inflammation des métatarso-phalangiennes du pied gauche, mais n’avait retenu aucun diagnostic spécifique à cet égard ; elle recommandait de faire réaliser des examens biologiques et radiologiques complémentaires en cas de persistance des signes inflammatoires (rapport d’expertise p. 40 et 42). La Dre Z.________ a en outre indiqué que l’assuré présentait une obésité sévère, une tension artérielle élevée malgré un traitement antihypertenseur (rapport d’expertise p. 40) et qu’un dépistage d’un éventuel diabète était en cours (rapport d’expertise p. 11). Lors de la première demande de prestations, le Dr V.________ avait en outre indiqué l’existence de troubles de l’humeur réactionnels (rapport du 15 février 2016) sans toutefois mentionner de suivi psychiatrique ni de traitement antidépresseur. b) Dans le cadre de la nouvelle demande de prestations du recourant, plusieurs rapports médicaux de son nouveau médecin généraliste traitant, le Dr Q.________, ont été versés au dossier. Celui-ci a posé les diagnostics de syndrome métabolique avec hypertension artérielle difficile à équilibrer et diabète de type 2 limite, d’hypercholestérolémie, d’obésité, de lombalgies chroniques sur sténose des canaux radiculaires L5-S1, de syndrome anxiodépressif, d’arthrose ou d’ostéochondrite métatarso-phalangienne du gros orteil gauche et d’arthrose du coude gauche (rapports des 19 mars et 24 juin 2019, ainsi que 30 avril 2021). Sur le plan psychiatrique, le recourant est suivi depuis fin octobre 2019 pour un trouble anxieux et dépressif mixte (F41.2) par la Dre</w:t>
      </w:r>
    </w:p>
    <w:p>
      <w:r>
        <w:t>- 16 - C.________ et la psychothérapeute G.________ (rapports des 7 et 29 mai 2020 et du 20 octobre 2021). L’OAI a fait réaliser une expertise pluridisciplinaire auprès de L.________. Le rapport d’expertise établi le 11 mai 2022 par les Drs N.________, B.________ et S.________ peut se voir reconnaître une pleine valeur probante. Les experts ont en effet pris connaissance de l’ensemble du dossier du recourant, ont recueilli une anamnèse complète, ont écouté ses plaintes avant de procéder à un examen clinique détaillé et ont ensuite pris leurs conclusions de manière motivée. Il sied notamment de préciser que, contrairement à ce qu’affirme le recourant dans ses écritures, la Dre S.________ a eu connaissance de son dossier radiologique, celle-ci précisant d’ailleurs qu’elle a visualisé les clichés d’imagerie que le recourant avait apportés (rapport d’expertise p. 30). aa) Sur le plan de la médecine interne, le Dr N.________ retient, à l’instar du Dr Q.________, l’existence d’un syndrome métabolique avec une hypertension traitée, une hypercholestérolémie traitée, un diabète de type 2 traité, mal équilibré, et une obésité de stade 2. Il précise que ces atteintes restent sans incidence sur la capacité de travail, ce que le Dr Q.________ avait également reconnu dans son rapport du 24 juin 2019. Le Dr N.________ mentionne qu’il est nécessaire de réévaluer le traitement du diabète et de l’hypertension, dans le but de limiter le développement de complications, notamment cardio-vasculaires. Dans ce contexte, il précise que si l’ajustement du traitement antidiabétique devait conduire à l’introduction d’insuline, l’activité de chauffeur professionnel du recourant ne serait plus autorisée (expertise p. 13). Le Dr N.________ pose également le diagnostic de syndrome des apnées du sommeil appareillé. Il note que ce syndrome est régulièrement contrôlé et que le traitement est en voie d’adaptation. Il estime que ce n’est pas un élément limitant pour une activité professionnelle, en précisant qu’un syndrome des apnées du sommeil correctement traité ne provoque pas de baisse de rendement (expertise pp. 12-13). Il relève que ce syndrome semble correctement traité pour ce</w:t>
      </w:r>
    </w:p>
    <w:p>
      <w:r>
        <w:t>- 17 - qui concerne le recourant, de sorte que la fatigue dont celui-ci se plaint semble plus d’origine psychique que physique, même si des valeurs glycémiques élevées peuvent y contribuer (expertise p. 12). Le Dr N.________ relève finalement l’existence d’un asthme, possiblement allergique, qui était en voie d’investigation, mais dont les répercussions sur la santé semblaient faibles. Il n’était dès lors pas jugé incapacitant (expertise pp. 12-13). bb) Au niveau psychiatrique, le Dr B.________ a retenu le diagnostic d’épisode dépressif moyen, avec syndrome somatique (F32.11), lequel, à ses yeux, correspond plus à la symptomatologie du recourant que le trouble anxieux et dépressif mixte retenu par la Dre C.________ (expertise p. 20). Il a observé chez le recourant une fatigue et une fatigabilité moyennes, un léger ralentissement psychomoteur, un émoussement des affects, un pessimisme dans le discours et un léger trouble de l’attention (expertise p. 19). Il qualifie l’épisode dépressif actuel de moyen car l’expertisé présente des troubles cognitifs, dont quelques troubles de l’attention, ainsi qu’une fatigue et une fatigabilité, à l’origine d’une bradypsychie. Il précise que la Dre C.________ évoquait également des troubles cognitifs avec des difficultés de concentration et des troubles de la mémoire antérograde, qu’il retrouve également (expertise p. 20). Le Dr B.________ retient l’existence d’un fond de dysthymie de longue date, relevant que depuis qu’il a quitté son pays natal, la Bosnie, le recourant présente une tristesse d’humeur, des inquiétudes régulières et un manque d’entrain. L’expert psychiatre relève que le recourant a vécu plusieurs événements difficiles, mais considère que c’est à partir de 2015 qu’il a souffert d’un véritable épisode dépressif, lorsqu’il a commencé à avoir des douleurs. Il s’écarte sur ce point de l’avis de la Dre C.________, qui parle d’une pathologie anxieuse et dépressive envahissante de longue date. Le Dr B.________ ne retient pas de trouble dépressif récurrent dans la mesure où le recourant n’avait auparavant jamais eu d’épisode dépressif (expertise pp. 19-20). La date d’apparition de l’épisode dépressif moyen retenue par le Dr B.________ n’apparaît cependant pas totalement</w:t>
      </w:r>
    </w:p>
    <w:p>
      <w:r>
        <w:t>- 18 - convaincante. Il faut en effet relever qu’en 2015, le médecin généraliste traitant du recourant, le Dr V.________, ne faisait état que de troubles de l’humeur réactionnels (rapport du 15 février 2016) et n’avait pas mis en place de traitement antidépresseur, ni adressé son patient à un psychiatre en vue d’un suivi. Dans le rapport du 20 mars 2017, produit à l’appui de la deuxième demande de prestations du recourant, le Dr V.________ mentionnait des troubles chroniques de l’humeur, avec une baisse de motivation et une perte d’intérêts, et précisait que ceux-ci avaient montré une certaine aggravation depuis fin mai 2016. Il ne mentionnait à nouveau ni traitement antidépresseur, ni suivi psychiatrique. Ce n’est que dans son rapport du 24 juin 2019 que le Dr Q.________ signale l’existence d’un traitement antidépresseur et d’un suivi psychiatrique et psychologique. Dans ce rapport, il retient la présence d’un syndrome dépressif, qu’il fait remonter quatre à six mois en arrière, à savoir à février 2019. La date d’apparition de l’état dépressif n’a toutefois pas besoin d’être déterminée plus précisément dans la mesure où il est admis que le recourant souffre désormais d’une telle atteinte, dont il y a lieu de tenir compte dans l’évaluation de sa capacité de travail. Le Dr B.________ écarte l’existence d’un trouble de l’adaptation avec réaction dépressive prolongée, malgré les événements traumatiques du passé et une tristesse d’humeur de fond (expertise p. 20). Il mentionne qu’un état de stress post-traumatique a existé dans le passé en lien avec la guerre en Bosnie, mais qu’il a disparu, l’assuré n’ayant plus d’hypervigilance ni de situation d’évitement. Il écarte une modification durable de la personnalité puisque l’expertisé ne s’est pas distancé du monde extérieur et qu’il a pu travailler malgré les antécédents traumatiques (expertise p. 20). L’expert psychiatre estime que l’épisode dépressif moyen entraîne une baisse de rendement de 20 % pour un taux horaire de 100 %. Au niveau des limitations fonctionnelles, l’activité doit consister en du travail répétitif, sans prise de décision immédiate et sans traitement simultané d’informations multiples. Il relève que l’expertisé a l’habitude de conduire et peut le faire sans trop de stress (expertise p. 21).</w:t>
      </w:r>
    </w:p>
    <w:p>
      <w:r>
        <w:t>- 19 - Il faut constater que le Dr B.________ a déterminé l’impact de l’atteinte psychique sur la capacité de travail du recourant en tenant compte de la gravité des symptômes présentés, à savoir une fatigue, une fatigabilité, une baisse de persévérance et la présence de troubles cognitifs. Il a listé en détail les capacités et ressources du recourant, estimant que celles-ci étaient moyennes, et s’est prononcé sur le traitement entrepris, soulignant que le recourant gardait une chance d’amélioration encore très nette s’il prenait ses médicaments (expertise pp. 20-21). Il a considéré que cette inobservance constituait une incohérence chez une personne qui affirmait vouloir se soigner, mais n’a pas relevé d’autre incohérence au niveau clinique (expertise p. 19). Le Dr B.________ a en outre procédé à un examen de la personnalité du recourant (expertise p. 20). Son appréciation prend ainsi dûment en compte les indicateurs applicables, selon la jurisprudence, à l’évaluation du caractère invalidant d’une affection psychique (cf. consid. 4f supra). Il s’écarte ainsi de manière convaincante de la capacité de travail de maximum 40 % ou 50 % – après une reprise progressive – à laquelle la Dre C.________ concluait (rapports des 29 mai 2020 et 20 octobre 2021). Les conclusions motivées et détaillées du Dr B.________ doivent prévaloir sur celles de la psychiatre traitante, dont on ignore par ailleurs si elles tiennent également compte des atteintes physiques, qui sont citées comme facteurs faisant obstacle à la réadaptation dans le rapport du 29 mai 2020. cc) Sur le plan rhumatologique, la Dre S.________ a posé les diagnostics de lombalgies basses chroniques de type mécanique sur atteinte dégénérative, de sciatique, d’arthrose post-traumatique de l’articulation du coude, d’ostéochondrite du métatarse de type Freiberg, ainsi que d’obésité et surpoids. Il est admis que le recourant souffre de longue date de lombalgies basses, comme l’avait notamment déjà constaté la Dre Z.________. L’existence d’une sciatique n’est pas nouvelle non plus. Le Dr V.________ mentionnait en effet des sciatalgies dans son rapport du</w:t>
      </w:r>
    </w:p>
    <w:p>
      <w:r>
        <w:t>- 20 - 15 février 2016 et la Dre Z.________ en a tenu compte en lien avec les troubles dégénératifs étagés (expertise de pp. 25-26). La Dre S.________ parle d’ailleurs de lombosciatique gauche chronique par conflit disco- radiculaire évoluant depuis 1998 (expertise p. 31). Au niveau du traitement, elle recommande, outre l’antalgie, d’envisager des soins complémentaires de médecine thermale, qui pourraient apporter un bénéfice au niveau des douleurs, ainsi qu’un reconditionnement et une rééducation fonctionnelle. La Dre Z.________ avait observé une inflammation des métatarso-phalangiennes du pied gauche sans retenir de diagnostic spécifique à cet égard. Les radiographies des pieds réalisées depuis lors ont permis de montrer des séquelles de maladie de Freiberg des deuxième et troisième rayons. La Dre S.________ a observé, lors de son examen, des métatarsalgies de l’avant-pied gauche et un hallux valgus bilatéral. Si le diagnostic d’ostéochondrite a été nouvellement posé, l’atteinte aux métatarso-phalangiennes n’est en revanche pas nouvelle. La Dre S.________ relève que l’adaptation du chaussage et la réalisation de semelles orthopédiques sur mesures pourrait augmenter les capacités de station debout, le piétinement ainsi que le périmètre de marche. La Dre S.________ constate l’existence d’une arthrose post- traumatique de l’articulation du coude, lequel avait fait l’objet d’une ostéosynthèse à l’époque. Cette atteinte a été mise en évidence par radiographie en avril 2021. Ainsi que l’a indiqué le Dr R.________ dans son rapport du 6 avril 2021, l’experte rhumatologue a confirmé que l’ablation du matériel d’ostéosynthèse n’était pas envisageable et a précisé que l’expertisé ne souhaitait pas, dans l’immédiat, d’arthroscopie pour exérèse des fragments libres d’ostéochondromatose. L’experte rhumatologue a procédé à l’appréciation de la capacité de travail du recourant en tenant compte des différentes atteintes. Elle confirme que l’activité habituelle n’est plus exigible et conclut à l’existence d’une capacité de travail de 100 % dans une activité adaptée depuis le 21 août 2015, avec une baisse de rendement de 10 %</w:t>
      </w:r>
    </w:p>
    <w:p>
      <w:r>
        <w:t>- 21 - en lien avec la nécessité de pauses et de changements de position. Les limitations fonctionnelles sont la nécessité d’une activité semi-sédentaire avec possibilité de pauses et alternance de la station assise et debout, mais éviction de la station debout prolongée, de la marche notamment sur terrain irrégulier, des contraintes rachidiennes posturales en antéflexion et en rotation du buste, pas de port de charges depuis le sol supérieures à 5 kg, aucun mouvement de manutention ou répété des membres supérieurs, ainsi que des horaires de travail répartis harmonieusement sur cinq jours ouvrables. Les conclusions de la Dre S.________, prises de manière motivée et détaillée à l’issue d’un examen complet, doivent prévaloir sur celles du Dr Q.________. Celui-ci n’explique d’ailleurs pas pour quelle(s) raison(s) il retient une capacité de travail de seulement 30 %, respectivement de 2 à 4 heures par jour, dans une activité qui tient compte des limitations fonctionnelles du recourant (rapports des 19 mars et 24 juin 2019), respectivement une incapacité de travail totale en toutes activités (rapport du 30 avril 2021). dd) Dans leur appréciation consensuelle, les experts ont précisé que la baisse de rendement de 10 % pour des raisons rhumatologiques ne s’additionnait pas à celle d’origine psychiatrique. Ils concluent ainsi à l’existence d’une capacité de travail nulle dans l’activité habituelle depuis le 21 août 2015 pour des raisons rhumatologiques et à l’existence d’une capacité de travail de 100 % dans une activité adaptée dès cette date, avec une baisse de rendement de 20 % pour des raisons psychiatriques, en respectant les limitations fonctionnelles rhumatologiques et psychiatriques. c) Les rapports produits postérieurement à l’expertise ne sont pas propres à remettre en cause les conclusions de cette dernière. Comme le relève le SMR dans ses avis des 27 février et 22 septembre 2023, les rapports produits portent principalement sur des atteintes connues, qui ont été prises en compte dans l’expertise.</w:t>
      </w:r>
    </w:p>
    <w:p>
      <w:r>
        <w:t>- 22 - La problématique de l’arthrose du coude a été examinée par la Dre S.________. Au moment de l’expertise, le recourant ne souhaitait pas, dans l’immédiat, d’intervention en vue de l’exérèse des fragments libres d’ostéochondromatose (expertise p. 31). Une telle opération a finalement eu lieu le 8 mars 2023 avec également la réalisation d’une plastie radiale et de renforcement du ligament latéral externe (rapports du Dr E.________ des 1er mai et 29 juin 2023). Il s’agit d’éléments postérieurs à la décision attaquée, qui n’ont pas à être pris en compte dans le cadre du présent litige. Quoi qu’il en soit, on peut néanmoins constater s’agissant des limitations fonctionnelles mentionnées par le Dr E.________, à savoir l’impossibilité pour l’assuré d’utiliser son membre supérieur gauche pour une longue durée ou de porter des charges à gauche, ainsi que la présence de douleurs continues, que la Dre S.________ a tenu compte, parmi les limitations fonctionnelles, de l’absence de mouvement de manutention ou répété des membres supérieurs et a conclu à une perte de rendement de 10 % due à la nécessité de pauses et de changements de position, liée aux douleurs (voir également l’avis du SMR du 22 septembre 2023). Quant à la pose d’une prothèse de coude évoquée par le Dr E.________, celle-ci était envisagée à long terme, ce médecin précisant que la situation n’était pas si dramatique que ça (rapport du 29 juin 2023). Si cette atteinte devait s’aggraver, le recourant garde la possibilité de déposer une nouvelle demande de prestations. Le rapport du Dr H.________ du 12 février 2023 n’apporte aucun élément nouveau et constitue dès lors une appréciation différente d’un même état de fait, comme l’a constaté le SMR dans son avis du 27 février 2023. On peut néanmoins préciser que les limitations fonctionnelles qu’il énumère (difficultés cognitives et de concentration, troubles de la mémoire, thymie abaissée avec une humeur congruente et troubles du sommeil) ont été prises en compte dans l’évaluation du Dr B.________ (expertise pp. 20-21). Dans ses rapports des 21 juillet et 1er septembre 2023, le Dr W.________ envisageait de procéder à une intervention chirurgicale au pied gauche, lequel était toujours aussi douloureux malgré le port de semelles</w:t>
      </w:r>
    </w:p>
    <w:p>
      <w:r>
        <w:t>- 23 - et la physiothérapie. Cette atteinte a été prise en compte par la Dre S.________, qui a notamment retenu comme limitations fonctionnelles l’absence de station debout prolongée, de piétinement et de marche en terrain irrégulier. Le SMR relève en outre que l’intervention agendée est postérieure à la décision attaquée et qu’elle a pour but d’améliorer les douleurs que présente le recourant de longue date (avis du 22 septembre 2023). Selon le rapport du 21 juillet 2023 du Dr W.________, le recourant présentait vraisemblablement une tendinopathie du fessier, liée à des douleurs à la hanche gauche. Lors de son examen clinique, la Dr S.________ a également observé une palpation trochantérienne et rétro- trochantérienne douloureuse à gauche (expertise p. 28). De même, la Dre Z.________ avait aussi mentionné une inflammation du tendon du muscle moyen glutéal gauche à son insertion trochantérienne, qu’elle estimait cependant sans influence sur la capacité de travail. Cette atteinte n’apparaît dès lors pas nouvelle, ni incapacitante. En ce qui concerne l’impotence de l’épaule gauche dont fait mention le Dr E.________ dans son rapport du 23 janvier 2023, il qualifiait celle-ci de discrète et n’en fait plus mention dans son rapport suivant. De son côté, le Dr Q.________ retient le diagnostic d’arthrose acromio- claviculaire de l’épaule gauche dans son rapport du 23 février 2023. Or, comme déjà relevé, les limitations fonctionnelles retenues dans l’expertise tiennent compte de l’absence de mouvement de manutention ou répété des membres supérieurs. Quant à la capacité de travail de seulement 20 % retenue par le Dr Q.________ dans son rapport du 23 février 2023, celle-ci constitue une appréciation différente d’une même situation. Faute d’être motivée, son appréciation ne saurait prévaloir sur celle des experts. d) Au final, rien ne permet de s’écarter des conclusions des experts. Comme déjà mentionné ci-dessus, la date d’apparition de l’épisode dépressif moyen, même si elle ne remonte certainement pas au</w:t>
      </w:r>
    </w:p>
    <w:p>
      <w:r>
        <w:t>- 24 - 21 août 2015, n’en est pas moins antérieure à la nouvelle demande de prestations de février 2019, ou à tout le moins contemporaine. Dans la mesure où un éventuel droit à la rente ne s’ouvrirait que six mois après le dépôt de cette dernière (art. 29 al. 1 LAI), soit le 1er août 2019, il convient d’examiner le degré d’invalidité présenté par le recourant à ce moment-là, compte tenu de l’existence d’une capacité de travail de 100 % dans une activité adaptée, avec une baisse de rendement de 20 %.</w:t>
      </w:r>
    </w:p>
    <w:p>
      <w:r>
        <w:rPr>
          <w:b/>
        </w:rPr>
        <w:t>E. 6</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t>- 25 -</w:t>
      </w:r>
    </w:p>
    <w:p>
      <w:r>
        <w:rPr>
          <w:b/>
        </w:rPr>
        <w:t>E. 7</w:t>
      </w:r>
    </w:p>
    <w:p>
      <w:r>
        <w:t>a) Dans la mesure où un éventuel droit à la rente s’ouvrirait en 2019, il convient de procéder au calcul du degré d’invalidité par rapport à cette année-là et non par rapport à 2016 comme l’a fait l’OAI. b) C’est à juste titre que l’OAI a fixé le revenu sans invalidité en tenant compte du salaire que le recourant touchait auprès de son dernier employeur, à savoir 62'609 fr. en 2016. Après indexation jusqu’en 2019 (+0,6 % de 2016 à 2017, +0,4 % de 2017 à 2018, +0,5 % de 2018 à 2019), on obtient un revenu sans invalidité de 63'742 fr. 30. c) En ce qui concerne le revenu d’invalide, l’OAI était fondé à se référer aux données statistiques ressortant de l’ESS. Si le recourant a repris une activité en tant que chauffeur de bus scolaire, celle-ci – qui n’a débuté qu’en septembre 2021 – est exercée à un taux d’occupation de 20 %, si bien qu’elle ne permet pas au recourant de mettre pleinement en valeur sa capacité de gain. Il y a dès lors lieu de se référer aux données de l’ESS 2018 et de les indexer à l’année 2019. Le salaire que pouvaient percevoir des hommes dans des activités simples et répétitives du domaine de la production et des services en 2018 était de 5'417 fr. pour une semaine de 40 heures. Après indexation (+0,5 %) et compte tenu d’une durée hebdomadaire de travail de 41,7 heures en 2019 ainsi que d’une baisse de rendement de 20 %, le revenu d’invalide du recourant doit être fixé à 54'484 fr. 40. L’OAI n’a procédé à aucun abattement sur ce revenu, ce qui n’est pas contesté dans le recours et n’apparaît en effet pas critiquable dans la mesure où, comme le relève l’OAI, les limitations fonctionnelles du recourant ont déjà été prises en compte dans la baisse de rendement. d) Le degré d’invalidité du recourant s’élève par conséquent à 14,52 %, qu’il convient d’arrondir à 15 % (ATF 130 V 121) et qui est insuffisant pour ouvrir le droit à une rente d’invalidité.</w:t>
      </w:r>
    </w:p>
    <w:p>
      <w:r>
        <w:rPr>
          <w:b/>
        </w:rPr>
        <w:t>E. 8</w:t>
      </w:r>
    </w:p>
    <w:p>
      <w:r>
        <w:t>a) Selon l’art. 8 al. 1 LAI, les assurés invalides ou menacés d’une invalidité (art. 8 LPGA) ont droit à des mesures de réadaptation pour</w:t>
      </w:r>
    </w:p>
    <w:p>
      <w:r>
        <w:t>- 26 -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Pour déterminer si une mesure est de nature à maintenir ou à améliorer la capacité de gain d’un assuré, il convient d’effectuer un pronostic sur les chances de succès des mesures demandées (ATF 132 V 215 consid. 3.2.2 et références),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 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référence citée).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w:t>
      </w:r>
    </w:p>
    <w:p>
      <w:r>
        <w:t>- 27 - le droit à une mesure de reclassement est une diminution de la capacité de gain de 20 % environ (ATF 139 V 399 consid. 5.3).</w:t>
      </w:r>
    </w:p>
    <w:p>
      <w:r>
        <w:rPr>
          <w:b/>
        </w:rPr>
        <w:t>E. 9</w:t>
      </w:r>
    </w:p>
    <w:p>
      <w:r>
        <w:t>a) En l’occurrence, le degré d’invalidité de 15 % du recourant est insuffisant pour ouvrir le droit à un reclassement dans une nouvelle profession. Il faut par ailleurs constater que le recourant n’a pas démontré sa volonté à poursuivre des mesures de réadaptation. De telles mesures lui ont en effet été proposées début 2021 par le service de réadaptation de l’OAI, qui avait pris contact avec sa psychothérapeute et sa psychiatre traitante, lesquelles avaient soutenu cette démarche (note d’entretien du 26 février 2021). Invité à s’annoncer auprès d’un centre de réinsertion socio-professionnelle en vue de la mise en place d’une mesure de réinsertion, le recourant n’a toutefois donné aucune suite au courrier de l’OAI et a ensuite fait savoir, par l’intermédiaire de sa fille, qu’il avait mal au dos et qu’il ne pouvait rien faire. L’OAI a dès lors, à bon droit, renoncé à la mise en place de mesures de réadaptation, lesquelles n’étaient par ailleurs pas susceptibles de réduire le préjudice (note d’entretien du service de réadaptation du 8 avril 2021). b) Après le rejet de sa première demande de prestations, l’OAI avait proposé au recourant une aide au placement (art. 18 LAI), à laquelle celui-ci a renoncé en 2017, ne se sentant pas apte à reprendre une activité professionnelle en raison de son état de santé (rapport final du service de réadaptation du 15 février 2017). A l’issue de la présente demande de prestations, le service de réadaptation de l’OAI n’a pas jugé utile de proposer à nouveau une telle aide au placement compte tenu du refus précité, de l’absence de travail à plein temps depuis 2015 et du fait que le recourant estimerait que son emploi de chauffeur de bus à 10-20 % correspond au maximum de ce qu’il peut faire (rapport final du 4 janvier 2023). Cette dernière affirmation ne ressort toutefois pas du dossier. Il apparaît en revanche que l’activité exercée est limitée à 20 % (expertise L.________ pp. 8 et 27), ce qui s’explique par sa nature. Quoi qu’il en soit, le recourant peut, s’il le souhaite, solliciter une aide au placement auprès de l’OAI. Il avait d’ailleurs été informé de cette possibilité lors de la</w:t>
      </w:r>
    </w:p>
    <w:p>
      <w:r>
        <w:t>- 28 - fermeture du mandat d’aide au placement en 2017 (rapport du 15 février 2017).</w:t>
      </w:r>
    </w:p>
    <w:p>
      <w:r>
        <w:rPr>
          <w:b/>
        </w:rPr>
        <w:t>E. 10</w:t>
      </w:r>
    </w:p>
    <w:p>
      <w:r>
        <w:t>a) Le recours doit par conséquent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 d)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