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ZD23.015271 vom 11. Dezember 2023</w:t>
      </w:r>
    </w:p>
    <w:p>
      <w:r>
        <w:t>VD Tribunal cantonal, 2023-12-11, FR</w:t>
      </w:r>
    </w:p>
    <w:p>
      <w:r>
        <w:rPr>
          <w:b/>
        </w:rPr>
        <w:t xml:space="preserve">Quelle: </w:t>
      </w:r>
      <w:r>
        <w:t>https://mcp.opencaselaw.ch/entscheid/vd_gerichte_ZD23.015271</w:t>
      </w:r>
    </w:p>
    <w:p>
      <w:r>
        <w:t>FR: VD_GERICHTE ZD23.015271 du 11 décembre 2023</w:t>
      </w:r>
    </w:p>
    <w:p>
      <w:r>
        <w:t>IT: VD_GERICHTE ZD23.015271 del 11 dicembre 2023</w:t>
      </w:r>
    </w:p>
    <w:p>
      <w:pPr>
        <w:pStyle w:val="Heading2"/>
      </w:pPr>
      <w:r>
        <w:t>Erwägungen</w:t>
      </w:r>
    </w:p>
    <w:p>
      <w:r>
        <w:rPr>
          <w:b/>
        </w:rPr>
        <w:t>E. 3</w:t>
      </w:r>
    </w:p>
    <w:p>
      <w:r>
        <w:t>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 Selon l’art. 9 al. 3 LAI, les ressortissants étrangers âgés de moins de 20 ans qui ont leur domicile et leur résidence habituelle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Sont assimilés aux enfants nés invalides en Suisse les enfants qui ont leur</w:t>
      </w:r>
    </w:p>
    <w:p>
      <w:r>
        <w:t>- 7 - domicile et leur résidence habituelle en Suisse, mais qui sont nés invalides à l’étranger, si leur mère a résidé à l’étranger deux mois au plus immédiatement avant leur naissance (let. b). S’agissant du droit aux mesures médicales, il est relevé à l’ATF 143 V 261 que l’art. 9 al. 3 LAI fait dépendre le droit aux mesures de réadaptation non pas exclusivement du statut de l’ayant droit au regard de l’AVS/AI, mais également, cas échéant, seulement de celui de l’un au moins de ses parents. Ainsi, cette disposition prévoit des conditions particulières pour les ressortissants étrangers qui n’ont pas atteint l’âge de vingt ans révolus, par rapport à celles de l’art. 6 al. 2 LAI. Cet alinéa constitue une norme spéciale, dans la mesure où, dans un système légal qui ignore en principe la notion d’assurance familiale, il fait résulter le droit aux prestations directement du lien de filiation, et non de l’assujettissement de l’ayant droit lui-même à l’AVS/AI. Toutefois, le fait que c’est le statut des parents dans l’AVS/AI qui constitue le critère décisif, et non pas celui de l’ayant droit, ne permet pas d’ignorer la condition d’assurance prévue par l’art. 9 al. 1bis LAI et la seule exception à celle-ci prévue par l’art. 9 al. 2 LAI (ATF 143 V 261 consid. 5.2.3). Il n’est en revanche pas nécessaire que le père ou la mère soit assuré au moment de la survenance de l’invalidité, compte tenu de la modification de cette disposition entrée en vigueur le 1er janvier 2001 (ATF 143 V 261 consid. 5.1).</w:t>
      </w:r>
    </w:p>
    <w:p>
      <w:r>
        <w:rPr>
          <w:b/>
        </w:rPr>
        <w:t>E. 4</w:t>
      </w:r>
    </w:p>
    <w:p>
      <w:r>
        <w:t>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w:t>
      </w:r>
    </w:p>
    <w:p>
      <w:r>
        <w:t>- 8 - b)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Ainsi, une seule et même cause d’invalidité peut entraîner au cours du temps plusieurs cas d’assurance. Lorsque l’ouverture du droit ne dépend pas d’un degré minimum d’invalidité fixé en pourcent comme c’est le cas pour les mesures de réadaptation, l’assuré est réputé invalide à partir du moment où l’atteinte à la santé justifie manifestement, pour la première fois, l’octroi de la prestation entrant en considération (Michel Valterio, Commentaire de la loi sur l’assurance-invalidité, Genève/Zurich/Bâle 2018, n. 37 s. ad art. 4 LAI).</w:t>
      </w:r>
    </w:p>
    <w:p>
      <w:r>
        <w:rPr>
          <w:b/>
        </w:rPr>
        <w:t>E. 5</w:t>
      </w:r>
    </w:p>
    <w:p>
      <w:r>
        <w:t>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- 9 -</w:t>
      </w:r>
    </w:p>
    <w:p>
      <w:r>
        <w:rPr>
          <w:b/>
        </w:rPr>
        <w:t>E. 6</w:t>
      </w:r>
    </w:p>
    <w:p>
      <w:r>
        <w:t>a) En l’espèce, il est constant que le recourant est né en Suisse et qu’il présente un trouble du spectre autistique diagnostiqué dans le courant de l’année 2019, alors qu’il vivait en [...] avec sa mère depuis juillet 2018. Il est également admis qu’il vit à nouveau en Suisse sans discontinuer depuis le 29 août 2021. Le recourant fait valoir pour l’essentiel qu’une variante pathogène du gène GRIN2B est selon toute vraisemblance responsable du trouble du spectre autistique qu’il présente, si bien qu’un traitement médical, respectivement un contrôle permanent, étaient nécessaires dès sa naissance, le 26 mars 2017, et non pas lorsque le diagnostic a été posé. b) Il n’est pas contesté que le trouble du spectre de l’autisme dont souffre le recourant constitue une infirmité congénitale, soit une maladie considérée comme déjà présente à la naissance accomplie de l’enfant (art. 3 LPGA). Les troubles du spectre autistique figurent dans la liste des atteintes à la santé considérées comme infirmités congénitales au sens de l’art. 13 LAI. Si la liste valable jusqu’en 2021 (Annexe à l’Ordonnance concernant les infirmités congénitales du 9 décembre 1985 [OIC ; RS 831.232.21]) posait comme condition que les symptômes aient été manifestes avant l’accomplissement de la cinquième année (ch. 405), cette précision n’existe plus dans la liste valable depuis le 1er janvier 2022 (Annexe à l’Ordonnance du DFI concernant les infirmités congénitales du 3 novembre 2021 [OIC-DFI ; RS 831.232.211]), où il est en revanche exigé une confirmation du diagnostic par un médecin spécialiste en pédiatrie avec formation approfondie en neuropédiatrie ou par un médecin spécialiste en pédiatrie avec formation approfondie en pédiatrie du développement. En l’occurrence, le diagnostic a été posé par divers spécialistes qui ont examiné le recourant en [...] et confirmé en dernier lieu par les médecins qui ont repris le suivi en Suisse au sein d’une consultation psychiatrique spécialisée. En outre, les rapports médicaux au</w:t>
      </w:r>
    </w:p>
    <w:p>
      <w:r>
        <w:t>- 10 - dossier confirment que les symptômes se sont manifestés avant l’âge de cinq ans. Cela étant, le fait que les troubles du spectre de l’autisme soient considérées comme des infirmités congénitales ne permet pas de fixer la date du besoin de mesures médicales, et donc de l’invalidité liée à ce trouble, à la naissance du recourant. c) La thèse de l’influence de certains gènes sur l’apparition d’un trouble du spectre de l’autisme a été mise en avant dans différentes recherches depuis une vingtaine d’année (cf. « Autisme, la piste génétique », dossier du 20 mai 2019, www.pasteur.fr/fr/journal- recherche/dossiers). Dans ce contexte, l’influence du gène GRIN2B a été identifiée en 2018 (cf. « Autisme et cerveau humain : des chercheurs identifient un nouveau mécanisme moléculaire », du 26 juin 2018, www.mcgill.ca/neuro/fr/channels/news/). La littérature médicale retient cependant que la présence d’un gène ou d’une variante pathogène d’un gène n’est pas seule en cause dans l’apparition de l’autisme. Elle pose une prédisposition, qui se réalise sous l’influence de l’environnement, en particulier d’un déclencheur (cf. « Des interactions entre gènes et environnement à l’origine de l’autisme », du 31 janvier 2022, www.unige.ch/medias/2022). Dans ce contexte, le test génétique n’est pas préconisé en tant qu’outil diagnostic, notamment dans la DSM-5 (Manuel diagnostique et statistique des troubles mentaux, 5e édition, publié en 2013 par l’Association psychiatrique américaine, APA). Plus particulièrement, le Centre cantonal autisme du CHUV n’y fait aucune allusion dans les informations publiées sur son site internet (cf. www.chuv.ch/fr/fiches- psy/centre-cantonal-autisme/). Au contraire, le CHUV se réfère à un article de la Revue Suisse de pédagogie spécialisée du 13 janvier 2023 (Nadia Chabane et Chloé Peter, « Le trouble du spectre de l’autisme, repérage, diagnostic et interventions précoces »), où il est exposé en particulier ce qui suit (p. 3) :</w:t>
      </w:r>
    </w:p>
    <w:p>
      <w:r>
        <w:t>- 11 - « Détection et diagnostic précoce Les recommandations internationales (haute autorité de la santé [HAS], 2018 ; National Institute for Health and Care Excellence [NICE], 2013 ; Office fédéral des assurances sociales [OFAS], 2018) mettent la priorité sur la détection et le diagnostic précoce du TSA [trouble du spectre autistique] afin que l’enfant accède à un accompagnement adapté le plus tôt possible. Ces données soulignent l’importance cruciale que les pédiatres et les spécialistes de la petite enfance soient impliqués dans le repérage des enfants présentant un risque de TSA. En cas de signe d’alerte (déficits de la communication et des interactions sociales ; comportements, activités ou intérêts restreints et répétitifs), il est essentiel d’adresser l’enfant à une équipe pluridisciplinaire ayant l’expérience du diagnostic précoce. En effet, chez les très jeunes enfants, le diagnostic est l’affaire de spécialistes avertis, car les premiers indicateurs fiables sont surtout des anomalies qualitatives, parfois très subtiles, du comportement social. Le diagnostic est fiable à partir de 18-24 mois chez le jeune enfant. Avant 18 mois, il est nécessaire de suivre très régulièrement les enfants à risque (exposés à des causes potentielles ou les frères et sœurs d’un enfant présentant un TSA) et/ou qui présentent des signes d’alerte. Il est recommandé de mettre en place, sans attendre, un accompagnement adapté aux besoins de l’enfant. Cette intervention permet également de limiter le stress familial et le sentiment d’impuissance des parents, ainsi que de favoriser leur mobilisation et leur participation active dans le programme éducatif de leur enfant. Dans tous les cas, la reconnaissance du TSA et de son expression propre va être précieuse pour guider l’enfant concerné dans son développement, faciliter son éducation, prévenir les complications et aider son entourage à soutenir sa participation à la vie familiale et sociale. » Ainsi, il apparaît que le recours à l’analyse génétique, loin de se généraliser, n’est proposé à l’heure actuelle que dans le contexte de la recherche médicale et éventuellement par certains médecins pour asseoir le diagnostic lorsque des symptômes évocateurs d’un trouble du spectre autistique ont été observés chez un sujet, comme cela a manifestement été le cas pour le recourant en [...]. En effet, le test génétique versé au dossier date de juillet 2020, soit plus d’une année après le diagnostic posé par le pédopsychiatre et le neurologue consultés en 2019. Du reste, la Dre L.________ ne soutient pas que le variant du gène GRIN2B présenté par le recourant soit la seule cause du trouble qu’il présente, mais indique qu’il n’est « pas exclu » qu’il puisse y être associé.</w:t>
      </w:r>
    </w:p>
    <w:p>
      <w:r>
        <w:t>- 12 - d) Quoi qu’en dise le recourant, le diagnostic d’autisme posé en 2019 et la découverte en 2020 d’un marqueur génétique qui pourrait être l’une des causes de ce trouble, ne permettent pas de considérer que le besoin de soins existait dès la naissance. A cet égard, il ressort des informations figurant sur le site internet du Centre cantonal autisme du CHUV que le suivi de l’autisme ne débute pas avant les premières manifestations du trouble. L’article de la Revue suisse de pédagogie spécialisé précité expose que les premières manifestations sont généralement observées entre 18 et 24 mois, soit lorsque le développement de l’enfant commence à différer de celui d’un enfant qui ne présente pas de trouble, et qu’il importe de mettre en place immédiatement un suivi. Certes, il est également évoqué la possibilité de déceler des signes du trouble dès l’âge de 6 mois (p. 2) et de mettre en place une thérapie dès l’âge de 12 mois (p. 4). Il est toutefois question dans ce cas d’enfants présentant d’emblée un risque particulier, soit ceux qui sont exposés à des causes potentielles ou qui ont des frères ou sœur présentant un trouble du spectre autistique. En l’occurrence, le recourant n’a pas été suivi dès sa naissance en lien avec son trouble autistique. Il ressort des pièces médicales [...] versées au dossier qu’un suivi psychiatrique a débuté au printemps 2019, dès lors que le contrôle pédiatrique du recourant à ses 2 ans a montré d’importants retards du développement (cf. rapport pédopsychiatrique du 29 juin 2021, qui mentionne l’absence d’utilisation du langage, une compréhension réduite du langage et des jeux simples et monotones). Il a intégré un centre spécialisé dans la prise en charge de l’autisme le 22 juin 2019 (cf. rapport pédagogique, non daté), puis a été examiné le 13 juillet 2019 par un neurologue de [...], qui a posé le diagnostic d’autisme F84.0. Le test génétique a été effectué en juillet 2020 et, finalement la prise en charge débutée en [...] a pu être reprise rapidement lorsque le recourant est revenu vivre en Suisse, fin août 2021. Aucune pièce médicale au dossier ne suggère ainsi que le recourant présentait un risque particulier et qu’une détection ou un suivi précoce avait débuté à sa naissance ou avant son départ pour la [...] en juillet 2018. Au moment de son départ</w:t>
      </w:r>
    </w:p>
    <w:p>
      <w:r>
        <w:t>- 13 - pour la [...], le recourant était âgé de 15 mois, âge où il est rare de déceler les premiers signes d’un trouble du spectre autistique et où un suivi spécifique ne se justifie pas en l’absence d’antécédents familiaux. Par conséquent, le recourant ne peut être considéré comme « né invalide en Suisse » et il ne peut être retenu que l’invalidité s’est manifestée en Suisse. Les jurisprudences citées par le recourant ne lui sont d’aucun secours à cet égard. En effet, l’ATF 129 V 207 concerne les effets secondaires d’infirmités congénitales qui nécessitent des soins dès la naissance et dont la prise en charge est limitée dans le temps, soit les atteintes visées par les ch. 494 et 395 (nouveau-né ayant à la naissance un poids inférieur à 2000 grammes et légers troubles moteurs cérébraux). L’arrêt TF 9C_635/2017 du 5 avril 2018 examine plus particulièrement la notion d’infirmité congénitale pour une atteinte associée à la trisomie 21, cette dernière n’ayant été reconnue comme infirmité congénitale qu’en 2016. Le Tribunal fédéral a nié le droit aux prestations de l’enfant, né en 2010, sur le constat que l’atteinte associée n’était elle-même pas congénitale mais acquise et que le besoin de soins avait débuté en 2012, si bien que l’invalidité était antérieure à l’entrée en vigueur de l’ajout de la trisomie 21 dans la liste des infirmités congénitales (consid. 4.3). e) La nécessité des mesures médicales s’étant manifestée alors que le recourant vivait en [...] avec sa mère et non durant l’une des périodes où il vivait en Suisse, les mesures médicales de l’assurance- invalidité ne peuvent lui être octroyées. Il n’y a pas lieu dès lors d’examiner si les conditions de durée de séjour en Suisse de l’intéressé et de cotisation de ses parents sont remplies.</w:t>
      </w:r>
    </w:p>
    <w:p>
      <w:r>
        <w:rPr>
          <w:b/>
        </w:rPr>
        <w:t>E. 7</w:t>
      </w:r>
    </w:p>
    <w:p>
      <w:r>
        <w:t>a) En définitive, mal fondé, le recours doit être rejeté et la décision litigieuse confirmée. b) La procédure de recours en matière de contestations portant sur des prestations de l’assurance-invalidité est soumise à des frais de justice (art. 69 al. 1bis LAI). Il convient de les fixer à 600 fr. et de</w:t>
      </w:r>
    </w:p>
    <w:p>
      <w:r>
        <w:t>- 14 -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