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ZD23.014868 vom 20. Dezember 2023</w:t>
      </w:r>
    </w:p>
    <w:p>
      <w:r>
        <w:t>VD Tribunal cantonal, 2023-12-20, FR</w:t>
      </w:r>
    </w:p>
    <w:p>
      <w:r>
        <w:rPr>
          <w:b/>
        </w:rPr>
        <w:t xml:space="preserve">Quelle: </w:t>
      </w:r>
      <w:r>
        <w:t>https://mcp.opencaselaw.ch/entscheid/vd_gerichte_ZD23.014868</w:t>
      </w:r>
    </w:p>
    <w:p>
      <w:r>
        <w:t>FR: VD_GERICHTE ZD23.014868 du 20 décembre 2023</w:t>
      </w:r>
    </w:p>
    <w:p>
      <w:r>
        <w:t>IT: VD_GERICHTE ZD23.014868 del 20 dicembre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w:t>
      </w:r>
    </w:p>
    <w:p>
      <w:r>
        <w:t>- 10 -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rPr>
          <w:b/>
        </w:rPr>
        <w:t>E. 4</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Pour fixer le degré d’invalidité, l’administration – en cas de recours, le juge – se fonde sur des documents médicaux, ainsi que, le cas échéant, des documents émanant d’autres spécialistes pour</w:t>
      </w:r>
    </w:p>
    <w:p>
      <w:r>
        <w:t>- 11 -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Ce qui</w:t>
      </w:r>
    </w:p>
    <w:p>
      <w:r>
        <w:t>- 12 -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d) aa) Depuis le 1er janvier 2022, sauf avis contraire de l’assuré, les entretiens entre l’assuré et l’expert font l’objet d’enregistrements sonores, lesquels sont conservés dans le dossier de l’assureur (art. 44 al. 6 LPGA). L’entretien comprend l’ensemble de l’entrevue de bilan. Celle-ci inclut l’anamnèse et la description, par l’assuré, de l’atteinte à sa santé (art. 7k al. 1 OPGA [ordonnance du 11 septembre 2002 sur la partie générale du droit des assurances sociales ; RS 830.11]). Au moyen d’une déclaration écrite adressée à l’organe d’exécution, l’assuré peut annoncer avant l’expertise qu’il renonce à l’enregistrement sonore (art. 7k al. 3 let. a OPGA) ou demander la destruction de l’enregistrement jusqu’à dix jours après l’entretien (art. 7k al. 3 let. b OPGA). Avant l’entretien, il peut révoquer sa renonciation au sens de l’al. 7k al. 3 let. a OPGA auprès de l’organe d’exécution (art. 7k al. 4 OPGA). L’enregistrement sonore doit être réalisé par l’expert conformément à des prescriptions techniques simples. Les assureurs garantissent l’uniformité de ces prescriptions dans les mandats d’expertise. L’expert veille à ce que l’enregistrement sonore de l’entretien se déroule correctement sur le plan technique (art. 7k al. 5 OPGA). Les experts et les centres d’expertises transmettent l’enregistrement sonore à l’assureur sous forme électronique sécurisée en même temps que l’expertise (art. 7k al. 7 OPGA). Si l’assuré, après avoir écouté l’enregistrement sonore et constaté des manquements techniques, conteste le caractère vérifiable de l’expertise, l’assuré et l’organe d’exécution tentent de s’accorder sur la suite de la procédure (art. 7k al. 8</w:t>
      </w:r>
    </w:p>
    <w:p>
      <w:r>
        <w:t>- 13 - OPGA). Si la personne assurée et l’office AI ne parviennent pas à se mettre d'accord à ce sujet, l’OAI rendra une décision incidente (Circulaire sur la procédure dans l’assurance-invalidité [CPAI], état au 1er janvier 2023, n°3127). bb) Compte tenu de la finalité de l’enregistrement sonore et de sa forme particulière de conservation, les directives prévoient que lorsque l’assuré demande l’accès à son dossier, l’enregistrement n’est pas transmis d’office avec les actes, dès lors que l’enregistrement a pour but de vérifier, en cas de litige, ce qui a été effectivement dit lors de l’entretien (MICHELA MESSI, AI : les enregistrements favorisent la transparence, in Sécurité sociale [CHSS] 2022). La personne assurée peut toutefois demander expressément de l’écouter. Par exemple lorsque, en lisant l’expertise, qui en soi sert de base à la décision de l’office AI, elle estime que le rapport d’expertise ne reproduit pas correctement les déclarations faites pendant l’entretien. Dans ce cas, l’office lui transmettra les instructions ainsi que les données nécessaires pour accéder électroniquement à l’enregistrement sonore et pouvoir ainsi l’écouter. Pour que les experts puissent enregistrer facilement les entretiens et les transmettre aux offices AI, une solution informatique dédiée à l’assurance-invalidité a été créée. Une application pour smartphones permet aux experts d’enregistrer un entretien, de le réécouter et de le transmettre à l’office AI. L’enregistrement sonore n’est pas conservé sur le smartphone, mais téléchargé et stocké sur une plateforme sécurisée. Les experts peuvent également réaliser l’enregistrement avec un dictaphone et le télécharger ensuite sur la plateforme. Vu qu’il s’agit de données particulièrement sensibles, une grande attention a été accordée à la sécurité et à la protection des données lors de la mise en œuvre de l’application. Pour des raisons de protection des données, l’accès à l’enregistrement sonore a été limité à un groupe très restreint de</w:t>
      </w:r>
    </w:p>
    <w:p>
      <w:r>
        <w:t>- 14 - personnes et institutions : l’assuré même et son représentant, l’organe d’exécution compétent (l’office AI dans les cas AI) ainsi que les tribunaux appelés à statuer sur un éventuel recours.</w:t>
      </w:r>
    </w:p>
    <w:p>
      <w:r>
        <w:rPr>
          <w:b/>
        </w:rPr>
        <w:t>E. 6</w:t>
      </w:r>
    </w:p>
    <w:p>
      <w:r>
        <w:t>a) En l’espèce, l’autorité intimée a refusé d’allouer une rente d’invalidité et de mettre en œuvre des mesures professionnelles, au motif que la recourante ne présente pas d’atteinte à la santé invalidante au sens de l’assurance-invalidité et ne justifie aucune incapacité de travail de longue durée. b) aa) Sur le plan somatique, les rapports médicaux récoltés au dossier ne laissent suggérer aucune atteinte durablement invalidante. Le status post ablation d’un kyste ovarien gauche symptomatique le 18 décembre 2019 n’est pas à l’origine de restrictions durables chez la recourante, selon le gynécologue consulté (rapport non daté mais reçu le 17 novembre 2020 par l’OAI du Dr Z.________). bb) Sur le plan psychiatrique, une expertise a été réalisée par la Dre O._________, qui a rendu son rapport le 23 décembre 2022. aaa) La recourante se plaint en substance d’avoir été maltraitée durant l’expertise, notamment ne pas avoir pu exprimer tout ce qu’elle voulait auprès de la « 3ème experte ». Elle fait valoir qu’après avoir commencé à exposer ses problèmes de santé en évoquant la perte de son bébé et la chirurgie, sujet très douloureux pour elle, l’experte psychiatre l’a interrompue et lui a dit qu’il n’y avait pas de temps pour parler de cela, que cette situation arrivait à beaucoup de femmes et qu’il convenait d’en venir au point. La recourante dit avoir été bouleversée et avoir pleuré sans aucun soutien de la part de l’experte ; selon son ressenti, les rendez-vous avec les autorités administratives étaient plus empathiques ; elle s’interrogeait sur les compétences professionnelles de l’experte psychiatre. Pareille situation s’était répétée à plusieurs reprises, l’experte ne laissant pas parler l’interprète et l’interrompant souvent en invoquant le manque de temps pour cela.</w:t>
      </w:r>
    </w:p>
    <w:p>
      <w:r>
        <w:t>- 15 - Il convient de rappeler que dans le cadre de la présente procédure de recours, l’enregistrement sonore de l’expertise psychiatrique réalisée à la fin 2022 par la Dre O._________ a été transmis à la recourante le 3 août 2023 pour lui permettre de faire valoir ses éventuels griefs à cet égard et qu’elle n’a pas répondu. Il y a donc lieu d’examiner les griefs précisés dans l’acte de recours. Dans la mesure où l’expertise en question a été effectuée par une seule experte psychiatre, la Dre O._________, on ignore à qui s’adresse le reproche formulé à l’égard de la « 3ème experte ». S’agissant des griefs liés aux circonstances de l’examen, l’expertise s’est déroulée lors de deux entretiens les 10 novembre et 20 décembre 2022 de trois heures chacun, soit six heures d’entrevue au total durant lesquelles il a été donné l’occasion à la recourante de s’exprimer, en présence d’un interprète de la langue tigrigna, soit le langage sémitique de l’intéressée (expertise, p. 2). L’écoute de l’enregistrement sonore de l’expertise ne confirme pas que la Dre O._________ aurait interrompu l’assurée et dit qu’il n’y avait pas de temps pour parler de la perte de son bébé, ni qu’elle et l’interprète aient été souvent interrompus. Il s’ensuit que les griefs soulevés dans l’acte de recours contre le déroulement de l’expertise psychiatrique ne sont pas établis et doivent donc être rejetés. bbb) Le rapport d’expertise psychiatrique du 23 décembre 2022 de la Dre O._________ remplit toutes les exigences formelles auxquelles la jurisprudence soumet la valeur probante d’un tel document. Reposant sur une anamnèse, passant en revue les rapports médicaux antérieurs recueillis au dossier et prenant en considération les plaintes exprimées de la recourante, l’expertise est fondée sur un examen clinique et des tests effectués lege artis. Les motifs médicaux qui ont conduit l’experte psychiatre à retenir certains diagnostics et à en écarter d’autres, puis à les considérer comme non incapacitants, sont également dûment exposés. Pour son évaluation de la capacité de travail, l’experte a examiné la cohérence des troubles sur la base de l’anamnèse, des plaintes</w:t>
      </w:r>
    </w:p>
    <w:p>
      <w:r>
        <w:t>- 16 - subjectives, de la journée-type et de l’examen clinique effectué selon la mini CIF-APP. L’appréciation de la situation médicale est claire et débouche sur des conclusions soigneusement motivées. Afin de conférer pleine valeur probante au rapport d’expertise du 23 décembre 2022 de la Dre O._________, il convient encore de s’assurer que l’experte psychiatre a dégagé une appréciation concluante de la capacité de travail de la recourante à la lumière des indicateurs déterminants selon la jurisprudence en matière de troubles psychiques (ATF 141 V 281 et ATF 143 V 418). En premier lieu, les diagnostics de trouble anxieux et dépressifs mixtes F41.2 depuis décembre 2019, de traits mixtes de la personnalité émotionnellement labile de type impulsif, dépendante et anxieuse, actuellement non décompensé Z73.1 et de trouble douloureux somatoforme persistant F45.4 ont été posés en référence à la Classification statistique internationale des maladies et des problèmes de santé connexes (CIM-10) et à la lumière des éléments constatés. Pour déterminer les capacités de la recourante, l’experte psychiatre a procédé à l’analyse globale suivante : “7. ÉVALUATION MÉDICO-ASSURANTIELLE (pronostic et capacités) 7.1. Évaluation de l’évolution à ce jour s’agissant des traitements, des mesures de réadaptation, etc., discussion des chances de guérison Nous constatons une évolution globalement stationnaire des troubles susmentionnés depuis décembre 2019 au présent, sans suivi psychiatrique hebdomadaire mais mensuel, sans traitement antidépresseur lors de la prise de sang, alors que la personnalité n’est pas décompensée, sans impact sur le quotidien d’un point de vue psychiatrique. Le pronostic de reprise professionnelle dépend de la motivation de l’assurée et d’une aide pour une réadaptation professionnelle dans une activité adaptée d’un point de vue somatique et il n’y a pas d’exigibilité pour un traitement antidépresseur, même si ceci pourrait améliorer le pronostic, car la capacité de travail est déjà de 100% d’un point de vue psychiatrique.</w:t>
      </w:r>
    </w:p>
    <w:p>
      <w:r>
        <w:t>- 17 - 7.1.1. Avis sur le déroulement de la thérapie, indication des motifs d’interruption des interventions. Le cas échéant, avis concernant la question de savoir si les problèmes de coopération sont liés à la maladie ou à un manque de ressources de l’assuré.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Nous suggérons un suivi psychiatrique ciblant ses avantages assécurologiques primaires et son lien au monde professionnel. Un traitement antidépresseur de type duloxétine permettra d’accélérer le processus de guérison, diminuer les douleurs, favoriser une insertion professionnelle, avec un bilan de compétences et une formation si l’assurée serait motivée par une telle démarche et si le dernier emploi ne serait plus exigible d’un point de vue somatique. 7.2. Appréciation des capacités, des ressources et des difficultés. Présentation et motivation des troubles fonctionnels, des pertes de capacité, des facteurs pesants et des ressources disponibles, avec appréciation critique de l’évolution sur la durée, de l’autoévaluation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Nous avons évalué les capacités, les ressources et les difficultés tenant compte de l’anamnèse, des plaintes subjectives, de la journée type et de l’examen clinique suivant les critères selon MINI CIF 10 avec évaluation standardisée de la sévérité des limitations fonctionnelles. Pour chacun des treize items mini ICF nous évaluons l’intensité des troubles suivant les cinq niveaux suivants : 0 Aucun problème : 0 – 4 1 Problème léger : 5 – 24 2 Problème moyen : 25 - 49 3 Problème grave : 50 - 95 4 Problème absolu : 96 - 100 Items mini ICF (I-XIII) : Niveau d’intensité du trouble (0-4) : I Adaptation aux règles et routines 1</w:t>
      </w:r>
    </w:p>
    <w:p>
      <w:r>
        <w:t>- 18 - II Planification et structuration des tâches 1 III Flexibilité et capacités d’adaptation 1 IV Usage des compétences spécifiques 1 V Capacité de jugement et de prise de 1 décision VI Capacité d’endurance 2 VII Aptitude à s’affirmer 1 VIII Aptitude à établir des relations [avec] les 1 autres IX Aptitude à évoluer au sein d’un groupe 1 X Aptitude à entretenir des relations proches 0 XI Aptitude à des activités spontanées 1 XII Hygiène et soins corporels 0 XIII Aptitude à se déplacer 0 Nous analysons les indices de gravité des troubles susmentionnés selon la jurisprudence 30.11.2017 et de 2015, pour les diagnostics susmentionnés : i. Degré de gravité fonctionnelle Selon les examens cliniques et l’anamnèse réalisée au moment de l’expertise, on retient un trouble anxieux et dépressif mixte depuis décembre 2019 au présent dans un contexte de traits de la personnalité mixte dépendante, émotionnellement labile et anxieuse et de trouble douloureux somatoforme persistant. Au moment de l’expertise et ce depuis décembre 2019 au présent on retient des limitations fonctionnelles psychiatriques subjectives d’un point de vue psychiatrique et sans impact sur le quotidien chez une assurée qui est limitée dans les activités lourdes physiquement mais avec des capacités cognitives et de concentration conservées, sans anhédonie, sans tristesse présente la plupart de la journée, sans décompensation de la personnalité. Dans ce contexte d’absence de limitations fonctionnelles objectivables selon l’anamnèse, l’examen clinique et la journée type, cet indice important est absent d’un point de vue psychiatrique depuis décembre 2019 au présent. ii. Atteinte à la santé Cet indice de gravité est absent, dans l’absence de limitations fonctionnelles significatives objectivables. iii. Caractère prononcé des éléments pertinents pour le diagnostic Les critères diagnostiques de la CIM-10 sont remplis pour les troubles susmentionnés depuis décembre 2019 au présent. iv. Succès du traitement et de la réadaptation ou résistance à cet égard Nous objectivons une évolution globalement stationnaire des troubles susmentionnés depuis décembre 2019 au présent, dans l’absence d’un traitement psychiatrique antidépresseur au moment de la prise de sang, sans suivi psychiatrique hebdomadaire, sans</w:t>
      </w:r>
    </w:p>
    <w:p>
      <w:r>
        <w:t>- 19 - hospitalisation psychiatrique. La motivation pour une réadaptation professionnelle est ambivalente selon l’anamnèse. Cet indice jurisprudentiel n’est pas rempli. v. Comorbidités Les comorbidités psychiatriques susmentionnées sont des troubles qui entrainent des limitations fonctionnelles non significatives psychiatriques et non objectivables, sans décompensation de la personnalité. vi. Personnalité (diagnostic de la personnalité, ressources personnelles) Dans ce cas, selon l’anamnèse, de longue date, l’assurée présente des comportements durables et stables disharmonieux mais pas nettement disharmonieux dans plusieurs secteurs du fonctionnement, ce qui permet de retenir la présence de traits mixtes de la personnalité émotionnellement labile, dépendante et anxieuse. Soulignons que ce trouble présent depuis le début de l’âge adulte n’a pas empêché l’assurée à gérer son quotidien sans limitation dans le passé, à travailler sans limitations et il n’a pas nécessité une hospitalisation psychiatrique, sans suivi psychiatrique hebdomadaire. vii. Contexte social L’assurée ne présente pas un isolement social objectivable, mais tout au plus subjectif et partiel. viii. Cohérence Nous avons objectivé une bonne cohérence entre la plupart des plaintes subjectives et le constat objectif, le décalage existant entre la fatigue et le constat objectif, s’inscrivant dans un contexte de traits de la personnalité mixtes avec des bénéfices primaires et secondaires, mais sans exagération volontaire des plaintes. ix. Limitation uniforme du niveau d’activité dans tous les domaines comparables de la vie Au moment de l’expertise l’assurée garde des capacités et ressources personnelles satisfaisantes d’un point de vue psychiatrique, sans aucune limitation fonctionnelle psychiatrique objectivable significatives, alors qu’elle serait limitée dans les activités lourdes physiquement. Nous ne retenons pas des limitations fonctionnelles psychiatriques significatives et uniformes dans les domaines de la vie courante selon l’anamnèse, la journée type et l’examen clinique. x. Poids des souffrances révélé par l’anamnèse établie pour le traitement et la réadaptation L’assurée présente une motivation ambivalente pour une réadaptation professionnelle dans un contexte de</w:t>
      </w:r>
    </w:p>
    <w:p>
      <w:r>
        <w:t>- 20 - déconditionnement et une motivation faibles pour un traitement antidépresseur et bonne pour le suivi psychiatrique selon l’anamnèse. En conclusion, les indices jurisprudentiels de gravité (jurisprudence novembre 2017 et 2015) ne sont pas remplis depuis décembre 2019 au présent, dans l’absence de limitations fonctionnelles psychiatriques significatives objectivables pour les diagnostics susmentionnés.” Selon la jurisprudence, il convient d’évaluer les capacités fonctionnelles de la personne concernée à l’aune des indicateurs pertinents, dans une analyse axée sur les ressources et les déficits fonctionnels résultant d’une atteinte à la santé. L’usage des indicateurs relatifs au degré de gravité fonctionnel permettent de faire des constatations qui doivent être confrontées aux indicateurs relatifs à la cohérence. Concernant le degré de gravité fonctionnel des troubles, l’experte psychiatre n’a pas constaté la présence de manifestations concrètes des atteintes à la santé sur les activités de l’assurée. Selon le descriptif détaillé et représentatif d’une journée-type, l’intéressée préparait le petit-déjeuner pour sa fille qu’elle accompagnait ensuite à l’école. Elle se rendait à l’église sur le chemin du retour excepté si elle devait se présenter au service social ou aux rendez-vous médicaux ou faire de petites courses. Après être rentrée chez elle, elle faisait le ménage, préparait à manger pour sa fille qu’elle allait ensuite chercher à l’école pour le repas de midi puis qu’elle accompagnait à nouveau à l’école. Par la suite, elle écoutait de la musique, préparait quelque chose à manger pour sa fille qu’elle allait ensuite rechercher à l’école, avec parfois une balade au parc. En fin de journée, elle préparait le dîner et se couchait vers une heure du matin. Son ex-compagnon passait également du temps les mercredi, vendredi et samedi avec elle et sa fille et l’intéressée se rendait aux consultations psychologiques chaque mercredi. Selon ses dires, chaque vendredi matin elle faisait de grandes commissions avec le père de sa fille et elle accomplissait des activités bénévoles à l’église durant deux heures, puis, pendant le weekend, elle se rendait au parc avec sa fille. Elle avait des loisirs (écoutait de la musique tous les matins chez elle, visionnait des films sur Netflix en français, surtout les soirs</w:t>
      </w:r>
    </w:p>
    <w:p>
      <w:r>
        <w:t>- 21 - environ deux heures, sortait avec sa fille et son ex-compagnon pour faire des courses ou manger dans un restaurant). Elle gérait l’ensemble des tâches ménagères seule ainsi que son administratif (excepté pour ce qui nécessitait la maîtrise du français). L’experte a retenu des limitations fonctionnelles psychiatriques subjectives sans impact sur le quotidien chez une assurée limitée dans les activités lourdes physiquement mais avec des capacités cognitives et de concentration conservées, sans anhédonie, sans tristesse présente la plupart de la journée, et sans décompensation de la personnalité. Concernant le traitement ou la résistance au traitement, la recourante est suivie auprès du centre E.__________ depuis 2013. Elle n’a pas été hospitalisée et l’analyse sanguine pratiquée dans le cadre de l’expertise a révélé l’absence de la prise de médicaments. Dans ces circonstances, l’examen de ce critère ne s’avère guère significatif dès lors que le traitement ne peut pas se comprendre en tant qu’une source de succès éventuel en termes de ressources. Pour l’examen des ressources personnelles à disposition de la recourante, malgré des comportements durables et stables disharmonieux de longue date, la lecture de son parcours personnel met en évidence des capacités de communication chez une personne qui est mobilisable et volontaire pour assurer le quotidien de sa fille scolarisée, pour gérer l’ensemble des tâches ménagères seule ainsi que son administratif. Elle puise ses ressources extérieures auprès du service social, du corps médical et de l’Eglise, essentiellement, mais peut aussi compter sur l’aide ponctuelle de son ex-compagnon et de ses deux filles majeures qui ne vivent plus avec elle. Aussi les ressources personnelles de la recourante sont peu ou pas diminuées. Pour ce qui concerne le contexte social, l’experte a retenu que l’assurée avait un réseau relationnel assez bon, en voyant ses filles et son ex-compagnon chaque semaine. Elle se rend aussi à l’église tous les matins et voit des amies les après-midis. Par ailleurs, elle échange souvent sur Facebook avec ses amis au sujet de l’[...] et de la Suisse.</w:t>
      </w:r>
    </w:p>
    <w:p>
      <w:r>
        <w:t>- 22 - S’agissant de la cohérence, l’experte a relevé une bonne cohérence entre l’examen clinique et la plupart des plaintes subjectives. Elle a noté que le décalage existant entre la fatigue et le constat objectif s’inscrivait dans un contexte de traits de la personnalité mixtes avec des bénéfices primaires et secondaires, mais sans laisser apparaître une exagération volontaire des plaintes. A la lumière de l’analyse de l’ensemble de ces critères, la capacité de travail de la recourante a été évaluée par l’experte psychiatre de façon conforme aux exigences de la jurisprudence (cf. consid. 4 supra). Pour le reste, s’en tenant à son rôle, l’experte a distingué les éléments subjectifs, basés sur les plaintes exprimées, et ses propres constatations médicales pour évaluer la capacité de travail. Elle a retenu une capacité de travail entière de la recourante dans toute activité en l’absence de limitations fonctionnelles psychiatriques objectivables en lien avec les diagnostics retenus. Elle a recommandé uniquement la prise d’un antidépresseur bien dosé de type Duloxétine® afin de diminuer les douleurs mais qui n’était pas exigible au vu de la capacité de travail de 100 %. L’expertise ne souffre d’aucune contradiction, ni défaut manifeste. c) Les pièces médicales récoltées au dossier ne permettent pas de mettre sérieusement en doute les conclusions de l’expertise psychiatrique de la Dre O._________. S’agissant de l’avis médical rendu le 2 novembre 2020 par le Dr G.________ et celui du Dr Z.________ enregistré le 17 novembre 2020 au dossier, ils ne permettent pas de susciter un doute quant au bienfondé du contenu de l’expertise en question compte tenu de leur caractère sommaire. Au demeurant, l’experte psychiatre en a eu connaissance et les a correctement pris en compte lors de son analyse du dossier médical. S’agissant du Dr G.________, il y a lieu de rappeler qu’il est admis, de jurisprudence constante, que le médecin traitant est généralement enclin, en cas de doute, à prendre parti pour son patient en raison du mandat</w:t>
      </w:r>
    </w:p>
    <w:p>
      <w:r>
        <w:t>- 23 - thérapeutique et de la relation de confiance qui l’unit à ce dernier (ATF 135 V 465 consid. 4.5) en sorte que son avis doit de toute manière être reçu avec réserve. Ensuite, les rapports des 12 novembre 2020, 1er avril 2021 et 22 mai 2022 des psychiatres traitants du centre E.__________ [...] sont tous antérieurs à la réalisation de l’expertise et donc pris en compte par l’experte. Dans le premier document, les Drs K.________ et J.________ ont retenu un trouble dépressif récurrent avec épisode sévère actuel et une modification durable de la personnalité après une expérience de catastrophe et deuil qui justifiaient une incapacité de travail totale de leur patiente depuis décembre 2019 dans toute activité. Une capacité de travail résiduelle de 20 % était attendue dans une activité adaptée aux limitations fonctionnelles retenues. Outre une anamnèse et un status très pauvres, le dosage des antidépresseurs prescrits par le médecin traitant (Dr G.________) était inconnu. Puis l’évaluation de la capacité de travail ne tient pas compte des ressources et n’objective pas les limitations fonctionnelles qui reposent sur les déclarations de la recourante. Par ailleurs, la situation devait être réévaluée à la fin novembre 2020. Les 1er avril 2021 et 20 mai 2022, le Dr L.________ a décrit une évolution stationnaire depuis la fin 2019 sans mentionner de nouveaux diagnostics incapacitants. Dans le premier rapport, il a fait part d’une capacité de travail de 20 % dans l’activité habituelle de l’assurée et de 30 à 40 % dans une activité adaptée aux restrictions listées. Puis l’année suivante, il a évalué la capacité de travail de sa patiente comme nulle dans toute activité en raison de la nature et l’intensité des limitations fonctionnelles. Or on peine à saisir quels sont les motifs médicaux à l’origine de la péjoration annoncée en 2022 au vu de la description d’une chronicisation de la situation stationnaire depuis la fin 2019. Sur la base de son examen lege artis en fonction des indicateurs déterminants selon la jurisprudence en matière de troubles psychiques (cf. consid. 4 et 6b/bb supra), l’experte psychiatre est parvenue, la même année, à une conclusion différente de celle de son confrère. Contrairement à ce que la recourante avait annoncé à son psychiatre traitant, elle a déclaré à</w:t>
      </w:r>
    </w:p>
    <w:p>
      <w:r>
        <w:t>- 24 - l’experte qu’elle faisait beaucoup de bénévolat à l’Eglise, dans un foyer, et qu’elle estimait pouvoir travailler dans le nettoyage, la restauration ou auprès d’une fondation comme [...] mais sans tâche lourde physique. Elle a ajouté qu’elle n’avait pas besoin d’aide pour son quotidien, sauf pour les grandes courses. Elle a en outre décrit des activités avec sa fille et parfois avec son ex-compagnon, puis à l’Eglise. Ces éléments contredisent ceux sommairement exposés dans le rapport du 20 mai 2022 (absence de contacts sociaux, abandon du bénévolat, incapacité à s’occuper des tâches ménagères). Selon l’experte, la capacité de travail de la recourante est totale dans toute activité depuis toujours en l’absence de restrictions fonctionnelles. La position défendue par le psychiatre traitant, qui n’étaye guère la gravité des troubles et qui relève des ressources sans en tenir compte dans l’évaluation de la capacité de travail, ne saurait l’emporter sur celle de l’experte qui est pleinement convaincante. d) Il résulte de ce qui précède que l’office intimé n’a pas fait preuve d’arbitraire en reprenant à son compte les conclusions circonstanciées de l’experte psychiatre, étant souligné que le rapport du 23 décembre 2022 remplit les réquisits jurisprudentiels pour se voir accorder pleine valeur probante (cf. consid. 5b-c et 6b/bb supra). Celles-ci peuvent donc être suivies. Aussi, en l’absence d’atteinte à la santé invalidante durablement, c’est à juste titre que l’OAI a refusé toutes prestations.</w:t>
      </w:r>
    </w:p>
    <w:p>
      <w:r>
        <w:rPr>
          <w:b/>
        </w:rPr>
        <w:t>E. 7</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w:t>
      </w:r>
    </w:p>
    <w:p>
      <w:r>
        <w:t>- 25 - c) Il n’y a pas lieu d’allouer de dépens à la recourante, qui n’obtient pas gain de cause et a procédé sans mandataire qualifié (art. 61 let. g LPGA ; ATF 127 V 205 consid. 4b).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