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ZD23.010115 vom 7. März 2024</w:t>
      </w:r>
    </w:p>
    <w:p>
      <w:r>
        <w:t>VD Tribunal cantonal, 2024-03-07, FR</w:t>
      </w:r>
    </w:p>
    <w:p>
      <w:r>
        <w:rPr>
          <w:b/>
        </w:rPr>
        <w:t xml:space="preserve">Quelle: </w:t>
      </w:r>
      <w:r>
        <w:t>https://mcp.opencaselaw.ch/entscheid/vd_gerichte_ZD23.010115</w:t>
      </w:r>
    </w:p>
    <w:p>
      <w:r>
        <w:t>FR: VD_GERICHTE ZD23.010115 du 7 mars 2024</w:t>
      </w:r>
    </w:p>
    <w:p>
      <w:r>
        <w:t>IT: VD_GERICHTE ZD23.010115 del 7 marzo 2024</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w:t>
      </w:r>
    </w:p>
    <w:p>
      <w:r>
        <w:t>- 24 - s'agit d'obtenir une clarification, une précision ou un complément quant à l'avis des experts interpellés par l'autorité administrative (ATF 137 V 210 consid. 4.4.1.4 et 4.4.1.5). 16. Vu la violation de son devoir d’instruction par l’intimé, il y a lieu de lui renvoyer la cause pour la compléter sur le plan médical. En particulier, il lui incombera d’actualiser les pièces médicales, en sollicitant notamment les éventuels rapports de médecins spécialistes, de nature à fournir des précisions sur le tableau clinique objectif présenté par la recourante. Ensuite, il lui appartiendra de mettre en œuvre une expertise pluridisciplinaire de la recourante, destinée à investiguer les atteintes à la santé dont elle souffre et les limitations fonctionnelles en découlant, ainsi que les conséquences de ces atteintes en termes d’impotence (accomplissement des actes ordinaires de la vie, soins médicaux, accompagnement pour faire face aux nécessités de la vie). Dite expertise devra – à tout le moins – comporter des volets rhumatologique, neurologique, psychiatrique et de médecine interne générale, voire endocrinologique, les experts mandatés devant avoir la liberté d’adjoindre un examen de toute autre spécialité susceptible d’entrer en ligne de compte (par exemple un examen neuropsychologique). En fonction des résultats de l’expertise, l’intimé déterminera si une nouvelle enquête au domicile de la recourante s’avère nécessaire. 17. a) Sur le vu de ce qui précède, le recours doit être admis et la décision de l’intimé du 7 février 2023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w:t>
      </w:r>
    </w:p>
    <w:p>
      <w:r>
        <w:t>- 25 - (art. 61 let. g LPGA). Etant donné l’importance et la complexité du litige, il convient d’arrêter l’indemnité de dépens à 2’500 fr., débours et TVA compris, et de la porter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