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ZD23.008479 vom 12. Dezember 2024</w:t>
      </w:r>
    </w:p>
    <w:p>
      <w:r>
        <w:t>VD Tribunal cantonal, 2024-12-12, FR</w:t>
      </w:r>
    </w:p>
    <w:p>
      <w:r>
        <w:rPr>
          <w:b/>
        </w:rPr>
        <w:t xml:space="preserve">Quelle: </w:t>
      </w:r>
      <w:r>
        <w:t>https://mcp.opencaselaw.ch/entscheid/vd_gerichte_ZD23.008479</w:t>
      </w:r>
    </w:p>
    <w:p>
      <w:r>
        <w:t>FR: VD_GERICHTE ZD23.008479 du 12 décembre 2024</w:t>
      </w:r>
    </w:p>
    <w:p>
      <w:r>
        <w:t>IT: VD_GERICHTE ZD23.008479 del 12 dicembre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- 11 -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au moins donne droit à un quart de rente, un taux d’invalidité de 50 % au moins donne droit à une demi-rente, un taux d’invalidité de 60 % au moins donne droit à trois- 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- 12 -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w:t>
      </w:r>
    </w:p>
    <w:p>
      <w:r>
        <w:t>- 13 - complémentaire sous la forme d’une nouvelle expertise médicale (ATF 125 V 351 consid. 3b/aa et les références citées ; TF 9C_719/2016 du 1er mai 2017 consid. 5.2.1 et les références citées).</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Il ressort du dossier que la recourante présente principalement une symptomatologie caractéristique d’un tableau anxio- dépressif et des troubles neuropsychologiques, associés à une pathologie de la personnalité. b) aa) Pour rendre la décision attaquée, l’office AI s’est fondé sur les conclusions du rapport d’expertise établi par le Dr N.________ le 26 octobre 2021. Or il n’était pas possible d’attribuer une pleine valeur probante aux conclusions du Dr N.________. bb) Le Dr N.________ est le seul médecin à retenir le diagnostic de personnalité état limite du registre impulsif et immature. Outre que ce diagnostic n’est guère étayé, il suppose des maltraitances durant l’enfance, lesquelles n’ont nullement été décrites par l’assurée, bien au contraire ; il ne correspond à aucun autre diagnostic figurant dans le dossier et contredit même le diagnostic posé par le Dr P.________ de trouble bipolaire, également retenu par les Drs Q.________ et L.________ ; de plus, le Dr N.________ ne confronte pas véritablement les divers avis émis par ses confrères, se contentant de les mentionner pour s’en écarter sans étayer les motifs pour lesquels il n'y a pas lieu de les retenir. L’expertise</w:t>
      </w:r>
    </w:p>
    <w:p>
      <w:r>
        <w:t>- 14 - du Dr N.________ ne contient pas non plus de discussion sur les divergences entre les experts à propos des périodes d’incapacités de travail et de leur taux, alors que ces différences sont importantes ; ainsi, dans son rapport du 24 octobre 2016, le Dr T.________ a estimé que, moyennant un changement thérapeutique et la mobilisation de sa volonté, l’assurée pourrait reprendre une activité à temps partiel le 1er février 2017 ; la Dre L.________ a jugé que, sous réserve de l’introduction d’un stabilisateur de l’humeur puis d’un anti-dépresseur, l’incapacité de travail pourrait être estimée à 80 % après un à deux mois (rapport du 4 avril 2017) ; pour sa part, le Dr R.________ a retenu une capacité de travail de 2 à 3 heures par jour jusqu’à un 50 % effectif pendant deux ans suivi d’un plein temps ; quant au Dr Q.________, il a considéré que, dans l’activité de vendeuse, la capacité de travail était de 30 % d’un plein temps depuis le 6 juillet 2015 puis de 50 % à compter du 1er février 2017, tout en suggérant un consilium pharmacologique au vu de la complexité du cas. Or un tel consilium n’a jamais eu lieu et le changement de médication opéré par le médecin traitant (stabilisateur de l’humeur puis anti-dépresseur) n’a pas eu l’amélioration escomptée, ce que le Dr N.________ n’a pas investigué. Il sied enfin de relever que l’expertise de ce médecin contient diverses contradictions, erreurs et lacunes. Ainsi, en page 21 de son rapport, il note que l’intelligence est « vive », alors qu’il la qualifie de « normale » en page 41 ; or l’une et l’autre de ces constatations sont erronées, dès lors que l’examen neuropsychologique effectué par J.________ retient une déficience intellectuelle ; l’expert ne s’est pourtant pas exprimé au sujet de ces déficits cognitifs ; il ne discute pas non plus l’évolution du tableau clinique de l’assurée, ni ne détaille l’incidence de l’évolution de son état de santé sur la capacité de travail et les limites rencontrées dans le cadre de l’exercice de son emploi ; les ressources n’ont pas réellement été examinées, alors que le Dr Q.________ estime que l’assurée est « pauvre en capacités adaptatives » et que « cette limitation pourrait être le socle de ses difficultés à s’insérer à plein temps dans le premier marché du travail » ; l’expert N.________ ne tient guère compte du quotidien de l’assurée pourtant peu stimulant et ne comportant pas de loisirs, pas plus qu’il ne contient une retranscription de ses plaintes ; il ne tient pas non plus compte des troubles psychiques des autres membres de la famille qui</w:t>
      </w:r>
    </w:p>
    <w:p>
      <w:r>
        <w:t>- 15 - doivent pourtant être pris en considération dans l’évaluation de la situation médicale globale ; à cet égard, le rapport du Dr N.________ contient une erreur, lorsqu’il affirme qu’aucun membre de la famille de l’intéressée ne souffre de troubles psychiques ; tel n’est pas le cas, puisque sa mère présente une fibromyalgie et d’autres troubles psychiques, tandis que son frère est atteint de troubles bipolaires ; enfin, le Dr N.________ ne s’est pas prononcé sur les recommandations de ses confrères conditionnant la reprise d’une activité lucrative à un changement préalable de médication.</w:t>
      </w:r>
    </w:p>
    <w:p>
      <w:r>
        <w:rPr>
          <w:b/>
        </w:rPr>
        <w:t>E. 8</w:t>
      </w:r>
    </w:p>
    <w:p>
      <w:r>
        <w:t>Cela étant, il n’y a pas lieu de s’écarter des conclusions convaincantes de l’expertise judiciaire psychiatrique réalisée par la Dre H.________, lesquelles ne sont d’ailleurs pas contestées par l’office intimé. a) Sur le plan formel, le rapport d’expertise du 10 juin 2024 remplit toutes les exigences auxquelles la jurisprudence soumet la valeur probante d’un tel document. La Dre H.________ a rendu son rapport sur la base d’une anamnèse circonstanciée (personnelle, familiale, professionnelle, sociale et affective), en tenant compte de l’ensemble de la documentation médicale au dossier, des plaintes exprimées par la recourante, de ses antécédents, du déroulement de sa journée-type (activités quotidiennes, tâches ménagères, soins à sa fille). Elle a également procédé à un examen clinique détaillé, rencontrant la recourante à quatre reprises. Elle s’est de surcroît entretenue téléphoniquement avec le Dr P.________, psychiatre traitant. Elle a été en mesure de discuter en détail les diagnostics retenus et leurs effets sur la capacité de travail de la recourante, de même qu’elle a expliqué les raisons justifiant de s’écarter de l’appréciation du Dr N.________. Les conclusions, reposant sur une description claire du contexte médical, sont dûment motivées, claires et exemptes de contradiction. b) Sur le plan matériel, la Dre H.________ a posé les diagnostics de trouble affectif bipolaire, épisode actuel de dépression légère, et d’autres troubles spécifiques de la personnalité.</w:t>
      </w:r>
    </w:p>
    <w:p>
      <w:r>
        <w:t>- 16 - aa) S’agissant du diagnostic de trouble affectif bipolaire, la Dre H.________ l’a retenu à l’instar du Dr P.________ et de plusieurs autres experts, en particulier la Dre L.________ (rapport du 4 avril 2017) et le Dr Q.________ (rapport du 7 mars 2020). Ce diagnostic a été posé notamment au regard des périodes successives d’élation puis d’abaissement de l’humeur dont souffre la recourante. Ainsi, les phases d’élation de l’humeur sont marquées par une augmentation caractéristique de l’activité, une baisse de la fatigue et du besoin de sommeil, une baisse du sentiment de faim, avec une perte de poids de 10 kg, une augmentation de l’estime de soi avec un sentiment de toute-puissance, des achats inconsidérés ou inutiles, sans tenir compte des limites budgétaires. A l’inverse, les phases dépressives sont marquées par une baisse de la thymie, une baisse de l’énergie avec une inactivité, de la fatigue, de l’irritabilité, des ruminations négatives, des troubles du sommeil, une hyperphagie avec une prise pondérale de 10 kg. Les limitations fonctionnelles dues à cette pathologie affectent non seulement la capacité de travail, mais également les tâches ménagères et les autres activités de la vie quotidienne de la recourante, qui en phase haute se disperse et n’a aucune organisation pour mener à bien ses activités, et en phase dépressive n’a pas l’énergie pour accomplir ce qu’elle devrait faire (rapport d’expertise du 10 juin 2024, p. 24). bb) aaa) S’agissant du diagnostic de trouble de la personnalité, il consiste en des modalités de comportement profondément enracinés et durables avec des réactions inflexibles et dysfonctionnelles à des situations personnelles et sociales de nature très variée. Ces perturbations sévères s’accompagnent de difficultés personnelles et sociales considérables. A l’instar de ce qui est décrit dans les précédentes expertises, la Dre H.________ a observé chez la recourante une labilité émotionnelle majeure, une hypersensibilité de type dysphorique, des troubles relationnels marqués par de fortes difficultés à gérer les conflits, une forte crainte du jugement d’autrui et une absence de capacités adaptatives. Tout au long des entretiens, la Dre H.________ a constaté cette réactivité émotionnelle, avec la crainte qu’à la moindre confrontation, l’assurée ne quitte le bureau. Quand bien même cette</w:t>
      </w:r>
    </w:p>
    <w:p>
      <w:r>
        <w:t>- 17 - dernière était demandeuse de cette évaluation, ces aspects de personnalité dysfonctionnels sont d’une telle ampleur qu’elle peut saboter le processus bien malgré elle (cf. rapport d’expertise du 10 juin 2024, p. 19 s.). L’experte en tire la conclusion suivante : « Dans ce sens, on peine à voir comment, avec un tel tableau clinique, elle pourrait supporter la pression et les contraintes d’un emploi quel qu’il soit, en étant confrontée aux ordres d’un supérieur, à une demande de rendement, aux confrontations avec des collègues, aux imprévus, etc. » (loc. cit., p. 20). Le trouble de la personnalité est difficile à catégoriser selon la classification proposée par la CIM-10, dans la mesure où l’intéressée présente des aspects impulsifs, des aspects paranoïaques et des aspects dépendants. C’est la raison pour laquelle la Dre H.________ a fait le choix de retenir le diagnostic d’autre trouble spécifique de la personnalité. bbb) Dans ce contexte, les différents experts ont décrit les manifestations cliniques du trouble de la personnalité de la recourante de la même manière « même si les choix de spécifier ce trouble de la personnalité sont légèrement différents » (loc. cit., p. 21). Bien que les experts précédents aient retenu un pronostic sombre, ils ont néanmoins considéré qu’une capacité de travail résiduelle serait possible, éventuellement dans un travail adapté, conclusion avec laquelle la Dre H.________ se distancie. Par exemple, l’expert T.________ reconnaît que les aspects de la personnalité sont les plus invalidants, mais sans toutefois expliquer comment un traitement médicamenteux pourrait atténuer ces aspects en l’espace de trois mois, « sachant qu’il n’y a pas de traitement reconnu pour les troubles de la personnalité, et sachant aussi que pour espérer une amélioration émotionnelle et comportementale d’un trouble de la personnalité, il faut compter des années de psychothérapie moyennant un grand investissement du patient ». La Dre H.________ ajoute que le Dr T.________ reconnaît que le pronostic est sombre, « ce qui est contradictoire avec ses propositions thérapeutiques et son idée de reprise rapide du travail. Sans clarifier le pourcentage de reprise, G.________ SA a jugé de manière arbitraire que la reprise serait de 50 % » (ibidem). S’agissant de la Dre L.________, la Dre H.________ relève qu’elle n’a effectué son expertise que sur dossier et n’a donc pas pu observer les aspects</w:t>
      </w:r>
    </w:p>
    <w:p>
      <w:r>
        <w:t>- 18 - dysfonctionnels de la recourante qui sont tellement prégnants en entretien (rapport d’expertise du 10 juin 2024, p. 22). De ce fait, elle a recommandé un traitement uniquement du trouble bipolaire, en imaginant, si c’était la seule pathologie de la recourante, qu’elle pourrait reprendre son travail d’ici un à deux mois. Son expertise ne tient donc pas compte de la pathologie la plus invalidante de l’intéressée. De la même manière, le Dr R.________ ne prend pas en considération les limitations fonctionnelles de la recourante en lien avec son trouble de la personnalité, puisqu’il préconise uniquement un traitement médicamenteux pour l’atteinte à l’humeur, estimant que celui-ci suffira pour que l’assurée retrouve une capacité de travail (ibidem). La Dre H.________ note encore que cet expert ne tient pas compte des manifestations du trouble de la personnalité sur les tâches ménagères, puisqu’il relève seulement qu’elle ne les assume pas, sans s’interroger sur le fait même qu’elle ne les assume pas. Quant à l’expert N.________, il fait état de « colère et d’une hyperréactivité qui émergent très facilement à la moindre contrariété » chez une expertisée qui s’est montrée « rapidement conflictuelle et projective dès son arrivée au secrétariat […], qui ne tolérait manifestement pas le cadre qui lui était imposé », qui refusait de réaliser des tests psychométriques l’amenant à retenir un diagnostic de trouble de la personnalité marqué par une importante dysrégulation émotionnelle (ibidem). Selon la Dre H.________, cette présentation clinique rend bien compte de la gravité du trouble et est tout à fait superposable à celle qu’elle a pu elle-même observer au cours de son propre examen expertal. Compte tenu de ces constatations, la Dre H.________ ne comprend pas comment le Dr N.________ peut conclure que la recourante serait en mesure de travailler à au moins à 50 % sur la base d’un plein temps, dans une activité adaptée. A cet égard, la Dre H.________ relève que le Dr N.________ « propose un travail dans la manutention ou la logistique, sans toutefois expliquer comment, dans un tel travail, Mme X.________ ne serait pas confrontée à une pression de rendement ; sans expliquer comment l’expertisée pourrait répondre à un cadre horaire, alors qu’il lui est tellement difficile de sortir de chez elle ; sans exposer, non plus, comment elle pourrait se présenter à un entretien d’embauche sans exploser à la moindre contrariété ».</w:t>
      </w:r>
    </w:p>
    <w:p>
      <w:r>
        <w:t>- 19 - cc) aaa) Sur le plan diagnostique, la Dre H.________ s’est également demandé si l’assurée souffre de troubles intellectuels, cognitifs ou mnésiques. En effet, celle-ci a effectué des tests neuropsychologiques le 28 janvier 2020 auprès de J.________, psychologue FSP spécialiste en neuropsychologie. Ces tests mettent en lumière un déficit global des fonctions intellectuelles et cognitives. Toutefois, le neuropsychologue affirme que ces déficits ne sont pas d’origine organique cérébrale. En effet, l’assurée ne présente pas de signes d’une atteinte organique, qu’elle soit accidentelle ou des suites d’une maladie (accident vasculaire cérébral, démence). Elle ne présente pas de retard mental, pathologie qui aurait été incompatible avec les résultats scolaires qu’elle a pu atteindre, ainsi que l’obtention d’un certificat fédéral de capacité. Par contre, le neuropsychologue évoque des signes de surcharge en lien avec les pathologies psychiatriques de l’expertisée, notamment en ce qui concerne le test de quotient intellectuel : « son comportement (…) étrange, fait d’un ralentissement qui apparaît de nature comportementale bien plus que lié à une incapacité telle qu’on peut l’observer dans les retards mentaux et a fortiori dans les atteintes cérébrales et qui alterne avec de la précipitation dans l’action, avec un bâclage manifeste, comme si l’expertisée souhaitait alors avant tout se débarrasser au plus vite de la tâche ». Plus loin dans son rapport, il observe que le ralentissement attentionnel, mais aussi les déficits en mémoire épisodique sont si intenses qu’ils ne peuvent que difficilement être attribués en totalité, soit au déficit intellectuel, soit aux troubles de l’humeur, voire même à la combinaison des deux. En conclusion, il retient le fait de ne pas pouvoir « se prononcer sur un diagnostic neuropsychologique fiable ni définir des limitations précises de la capacité de travail ». bbb) S’appuyant sur un article de la littérature médicale, la Dre H.________ souligne que les déficits cognitifs peuvent apparaître dans presque toutes les maladies psychiques par définition non organiques, et notamment lors de troubles affectifs ou de troubles de la personnalité. Comme dans le cas de l’assurée, ces déficits neuropsychologiques ne sont pas à mettre sur le compte d’une atteinte organique, mais sur la rigidification des processus de pensée, de réflexions et les difficultés de</w:t>
      </w:r>
    </w:p>
    <w:p>
      <w:r>
        <w:t>- 20 - concentration, péjorés par le vécu émotionnel. La recourante vit de manière fortement éprouvante ces examens expertaux. Elle tente de se contenir au mieux, d’être collaborante, mais elle est rattrapée par son vécu émotionnel qui parasite ses capacités. Celles-ci sont péjorées par son stress et son irritabilité, qui participent à entraver les processus mentaux examinés lors des tests neuropsychologiques. Il en résulte des tests déficitaires, mais non fiables, parce qu’altérés par des paramètres émotionnels et affectifs qui sont de l’ordre de la pathologie psychiatrique et non d’une pathologie neuropsychologique, organique. Il n’en demeure pas moins que les fonctions cognitives de l’assurée, à savoir sa capacité de répondre à des imprévus, à s’ajuster à une situation par la réflexion, à anticiper des problèmes et à chercher des solutions, sont entravées par ses atteintes psychiatriques. c) Au terme de son analyse, la Dre H.________ retient que la recourante a pu travailler jusqu’à ce que la conjonction de ses troubles psychiques ne soit trop importante pour poursuivre une activité professionnelle. Depuis le 6 juillet 2015, date de sa décompensation physique et psychique, elle n’est ainsi plus capable d’exercer quelque activité professionnelle que ce soit. En effet, jusqu’à cette date, elle avait beaucoup lutté pour contenir ses troubles et répondre aux exigences de son emploi, mais elle s’est épuisée, avec une cassure psychique et une impossibilité de se remobiliser, qui est présente encore aujourd’hui. Comme relevé ci-avant (cf. considérant 8b/aa), les limitations fonctionnelles s’observent aussi dans les tâches ménagères et dans les activités quotidiennes de la recourante. La Dre H.________ précise encore que le pronostic est défavorable, en raison de la chronicité du trouble bipolaire et de la rigidification du trouble de la personnalité. Même si le trouble bipolaire faisait l’objet d’un traitement médicamenteux efficace, tout au plus pourrait-on espérer une meilleure stabilisation des fluctuations de l’humeur, mais le traitement n’aurait pas d’effet sur le trouble de la personnalité, affection la plus invalidante. d) Sur le vu de ce qui précède, il convient de retenir que l’assurée est durablement incapable de travailler depuis le 6 juillet 2015,</w:t>
      </w:r>
    </w:p>
    <w:p>
      <w:r>
        <w:t>- 21 - date du début du délai d’attente d’un an (art. 28 LAI). A l’échéance du délai d’attente, le 6 juillet 2016, l’assurée était toujours totalement incapable de travailler. Dans la mesure où la Dre H.________ estime qu’aucune activité ne permettrait à la recourante d’améliorer son taux d’activité ou ses revenus, le taux d’invalidité se confond avec l’incapacité de travail telle qu’elle a été retenue par l’experte (application de la méthode de la comparaison en pour-cent ; ATF 114 V 310 consid. 3a ; TF 9C_252/2021 du 9 février 2022 consid. 6 et la référence citée). L’assurée a indiqué, dans le formulaire complété le 27 novembre 2015, qu’elle exercerait une activité lucrative à 80 %. Au vu des limitations fonctionnelles constatées et de l’incapacité totale de travail, le taux d’invalidité est donc de 80 % au moins, ce qui fonde le droit à une rente entière d’invalidité dès le 1er juillet 2016 (art. 29 LAI et considérant 4c supra).</w:t>
      </w:r>
    </w:p>
    <w:p>
      <w:r>
        <w:rPr>
          <w:b/>
        </w:rPr>
        <w:t>E. 9</w:t>
      </w:r>
    </w:p>
    <w:p>
      <w:r>
        <w:t>Subsiste la question des frais de l’expertise judiciaire. 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Conformément à la jurisprudence du Tribunal fédéral en matière d'assurance-invalidité (cf. ATF 139 V 496 consid. 4.3 ; 139 V 349 consid. 5.4), les frais qui découlent de la mise en oeuvre d'une expertise judiciaire peuvent le cas échéant être mis à la charge de l'assurance- 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oeuvre cette mesure d'instruction dans le cadre de la procédure administrative. Dans ces conditions, les frais de l'expertise ne constituent pas des frais de justice au sens de l'art. 69 al. 1bis LAI, mais des frais</w:t>
      </w:r>
    </w:p>
    <w:p>
      <w:r>
        <w:t>- 22 -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(ATF 137 V 210 consid. 4.4.2 ; sur l'ensemble de la question, cf. aussi Erik Furrer, Rechtliche und praktische Aspekte auf dem Weg zum Gerichtsgutachten in der Invalidenversicherung, RSAS 2019, p. 14). b) En l’occurrence, la Cour de céans s’est vue contrainte de mettre en œuvre une expertise judiciaire auprès de la Dre H.________ en raison des lacunes de l’expertise du Dr N.________. En effet, celle-ci se dissociait des avis motivés de spécialistes versés au dossier sans en confronter les divergences. Aussi, le SMR ne pouvait suivre sans plus ample examen les conclusions de cette expertise. Une expertise s’imposait incontestablement, laquelle a du reste porté les fruits escomptés, réfutant avec tact mais sans concession les avis divergents de l’expert N.________ et du SMR. Dans ces conditions, il se justifie de mettre à la charge de l’office AI la totalité des frais qui ont été nécessaires à la mise en œuvre de l’expertise judiciaire, soit un montant de 10'500 fr. conformément à la note d’honoraires de la Dre H.________ du 10 juin 2024.</w:t>
      </w:r>
    </w:p>
    <w:p>
      <w:r>
        <w:rPr>
          <w:b/>
        </w:rPr>
        <w:t>E. 10</w:t>
      </w:r>
    </w:p>
    <w:p>
      <w:r>
        <w:t>En définitive, le recours doit être admis et la décision attaquée réformée, en ce sens que X.________ est mise au bénéfice d’une rente entière d’invalidité à compter du 1er juillet 2016, sans limitation dans le temps.</w:t>
      </w:r>
    </w:p>
    <w:p>
      <w:r>
        <w:rPr>
          <w:b/>
        </w:rPr>
        <w:t>E. 11</w:t>
      </w:r>
    </w:p>
    <w:p>
      <w:r>
        <w:t>a) En dérogation à l’art. 61 let. a LPGA, la procédure de recours en matière de contestations portant sur l’octroi ou le refus de prestations de l’assurance-invalidité devant le tribunal cantonal des assurances est soumise à des frais de justice ; le montant des frais est fixé</w:t>
      </w:r>
    </w:p>
    <w:p>
      <w:r>
        <w:t>- 23 - est fonction de la charge liée à la procédure, indépendamment de la valeur litigieuse, et doit se situer entre 200 et 1'000 fr. (cf. art. 69 al. 1bis LAI). En l’espèce, compte tenu de l’ampleur de la procédure, les frais de justice doivent être arrêtés à 600 fr. et être mis à la charge de l’office intimé, qui succombe (cf. art. 69 al. 1bis LAI ; art. 49 al. 1 LPA-VD). b) La recourante, qui obtient gain de cause avec l’assistance d’un mandataire professionnel pour la défense de ses intérêts, peut prétendre une indemnité de dépens à la charge de l’intimé (art. 61 let. g LPGA ; 55 al. 1 LPA-VD ; art. 10 et 11 TFJDA [tarif cantonal vaudois des frais judiciaires et des dépens en matière administrative du 28 avril 2015 ; BLV 173.36.5.1]). Compte tenu de la complexité du litige ayant nécessité la mise en œuvre d’une expertise judiciaire, il convient de l’arrêter à 4'500 francs. c) La partie recourante est au bénéfice de l’assistance judiciaire. A cet égard, il sied de relever que Me Torrent a déjà été indemnisée pour la période du 18 janvier au 12 juin 2023 à hauteur de 1'896 fr. 90 et qu’un nouveau conseil d’office a été désigné en la personne de Me Alexandre Lehmann à compter du 14 juin 2023 (décision du 14 juin 2023). Dans la mesure où l’indemnité de dépens allouée ci-avant couvre la rémunération du conseil d’office (cf. liste des opérations du 5 août 2024), il n’y a pas lieu de fixer précisément le montant de l’indemnité qui aurait dû lui être versée pour la période du 22 juin 2023 au 5 août 2024 (art. 118 et 122 CPC [code fédéral de procédure civile du 19 décembre 2008 ; RS 272], applicables par renvoi de l’art. 18 al. 5 LPA.VD ; cf. aussi art. 4 al. 1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