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ZD23.008453 vom 23. Februar 2024</w:t>
      </w:r>
    </w:p>
    <w:p>
      <w:r>
        <w:t>VD Tribunal cantonal, 2024-02-23, FR</w:t>
      </w:r>
    </w:p>
    <w:p>
      <w:r>
        <w:rPr>
          <w:b/>
        </w:rPr>
        <w:t xml:space="preserve">Quelle: </w:t>
      </w:r>
      <w:r>
        <w:t>https://mcp.opencaselaw.ch/entscheid/vd_gerichte_ZD23.008453</w:t>
      </w:r>
    </w:p>
    <w:p>
      <w:r>
        <w:t>FR: VD_GERICHTE ZD23.008453 du 23 février 2024</w:t>
      </w:r>
    </w:p>
    <w:p>
      <w:r>
        <w:t>IT: VD_GERICHTE ZD23.008453 del 23 febbraio 2024</w:t>
      </w:r>
    </w:p>
    <w:p>
      <w:pPr>
        <w:pStyle w:val="Heading2"/>
      </w:pPr>
      <w:r>
        <w:t>Erwägungen</w:t>
      </w:r>
    </w:p>
    <w:p>
      <w:r>
        <w:rPr>
          <w:b/>
        </w:rPr>
        <w:t>E. 3</w:t>
      </w:r>
    </w:p>
    <w:p>
      <w:r>
        <w:t>L’entrée en vigueur le 1er janvier 2022 des modifications législatives et réglementaires dans le cadre du « développement continu</w:t>
      </w:r>
    </w:p>
    <w:p>
      <w:r>
        <w:t>- 19 -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w:t>
      </w:r>
    </w:p>
    <w:p>
      <w:r>
        <w:rPr>
          <w:b/>
        </w:rPr>
        <w:t>E. 4</w:t>
      </w:r>
    </w:p>
    <w:p>
      <w:r>
        <w:t>a) En vertu de l'art. 17 al. 2 LPGA, toute prestation durable accordée en vertu d'une décision entrée en force est, d'office ou sur demande, augmentée ou réduite en conséquence, ou encore supprimée si les circonstances dont dépendait son octroi changent notablement. b) Lorsque le degré d'impotence subit une modification importante, les art. 87 à 88bis RAI (règlement du 17 janvier 1961 sur l'assurance-invalidité ; RS 831.201) sont applicables (cf. art. 35 al. 2, première phrase, RAI). Conformément à l’art. 87 al. 2 RAI, lorsqu’une demande de révision est déposée, celle-ci doit établir de façon plausible que l’invalidité, l’impotence ou l’étendue du besoin de soins ou du besoin d’aide découlant de l’invalidité de l’assuré s’est modifiée de manière à influencer ses droits. Si l’administration est entrée en matière sur la nouvelle demande, il convient de traiter l’affaire au fond et vérifier que la modification rendue plausible par la personne assurée est réellement intervenue. Selon l'art. 88bis al. 1 let. a RAI, l’augmentation de la rente, de l’allocation pour impotent ou de la contribution d’assistance prend effet, au plus tôt, si la révision est demandée par l’assuré, dès le mois où cette demande est présentée. En vertu de l’art. 88bis al. 2 let. a RAI, la diminution ou la suppression de la rente, de l’allocation pour impotent ou de la contribution d’assistance prend effet au plus tôt le premier jour du deuxième mois qui suit la notification de la décision. c) A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précédente décision rendue sur le fond et les circonstances régnant à l'époque de la</w:t>
      </w:r>
    </w:p>
    <w:p>
      <w:r>
        <w:t>- 20 - décision litigieuse. Une appréciation différente d'une situation demeurée inchangée pour l'essentiel ne constitue pas un motif de révision (ATF 133 V 108 consid. 5 et 130 V 343 consid. 3.5.2 ; TF 9C_628/2015 du 24 mars 2016 consid. 5.4 et 9C_653/2012 du 4 février 2013 consid. 4).</w:t>
      </w:r>
    </w:p>
    <w:p>
      <w:r>
        <w:rPr>
          <w:b/>
        </w:rPr>
        <w:t>E. 5</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 l’art. 42bis (disposition pour les mineurs) est réservé (al. 1). L'impotence peut être grave, moyenne ou faible (al. 2).</w:t>
      </w:r>
    </w:p>
    <w:p>
      <w:r>
        <w:rPr>
          <w:b/>
        </w:rPr>
        <w:t>E. 6</w:t>
      </w:r>
    </w:p>
    <w:p>
      <w:r>
        <w:t>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w:t>
      </w:r>
    </w:p>
    <w:p>
      <w:r>
        <w:t>- 21 -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Les activités de représentation et d’administration dans le cadre des mesures de protection de l’adulte au sens des art. 390 à 398 du code civil (CC) ne sont pas prises en compte (art. 38 al. 3 RAI).</w:t>
      </w:r>
    </w:p>
    <w:p>
      <w:r>
        <w:rPr>
          <w:b/>
        </w:rPr>
        <w:t>E. 7</w:t>
      </w:r>
    </w:p>
    <w:p>
      <w:r>
        <w:t>a) Selon une jurisprudence constante, ainsi que selon le chiffre 2020 de la Circulaire sur l’impotence (CSI), édictée par l’Office fédéral des assurances sociales (OFAS), en vigueur dès le 1er janvier 2022, les actes</w:t>
      </w:r>
    </w:p>
    <w:p>
      <w:r>
        <w:t>- 22 -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 cf. également Michel Valterio, Commentaire de la loi sur l’assurance-invalidité,</w:t>
      </w:r>
    </w:p>
    <w:p>
      <w:r>
        <w:t>- 23 - Genève/Zurich/Bâle 2018, n°28 ss ad art. 42 LAI, p. 605 et références citées).</w:t>
      </w:r>
    </w:p>
    <w:p>
      <w:r>
        <w:rPr>
          <w:b/>
        </w:rPr>
        <w:t>E. 8</w:t>
      </w:r>
    </w:p>
    <w:p>
      <w:r>
        <w:t>Le besoin de soins permanents et particulièrement astreignants au sens de l'art. 37 al. 3 let. c RAI ne concerne pas les actes ordinaires de la vie (ATF 133 V 450 consid. 7.2). Au contraire, les soins permanents constituent – tout comme, dans un autre contexte, le besoin d’une surveillance personnelle permanente (art. 37 al. 2 let. b et al. 3 let. b RAI) – une forme d’aide de nature médicale ou paramédicale requise en raison de l’état physique ou psychique de la personne assurée (ATF 107 V 136 consid. 1b ; 106 V 153 consid. 2a ; TF 8C_920/2013 du 17 juillet 2014 consid. 2 et 8C_310/2009 du 24 août 2009 consid. 9.1). Les soins peuvent être qualifiés d’astreignants pour diverses raisons. Le critère peut être quantitatif, lorsqu’ils nécessitent beaucoup de temps ou entraînent des coûts particulièrement élevés. Le critère peut également être qualitatif, lorsque leur exécution se fait dans des conditions difficiles, par exemple parce qu’ils sont particulièrement pénibles ou qu’ils doivent être dispensés à des heures inhabituelles (TF 8C_920/2013 du 17 juillet 2014 consid. 2 et 9C_384/2013 du 10 octobre 2913 consid. 4.1 et les références).</w:t>
      </w:r>
    </w:p>
    <w:p>
      <w:r>
        <w:rPr>
          <w:b/>
        </w:rPr>
        <w:t>E. 9</w:t>
      </w:r>
    </w:p>
    <w:p>
      <w:r>
        <w:t>La notion de surveillance personnelle permanente au sens de l'art. 37 al. 2 let. b et al. 3 let. b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La nécessité d'une surveillance doit être admise s'il s'avère que l'assuré, laissé sans surveillance, mettrait en danger de façon très probable soit lui-</w:t>
      </w:r>
    </w:p>
    <w:p>
      <w:r>
        <w:t>- 24 - même soit des tiers (TF 9C_831/2017 du 3 avril 2018 consid. 3.1 et références citées).</w:t>
      </w:r>
    </w:p>
    <w:p>
      <w:r>
        <w:rPr>
          <w:b/>
        </w:rPr>
        <w:t>E. 10</w:t>
      </w:r>
    </w:p>
    <w:p>
      <w:r>
        <w:t>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w:t>
      </w:r>
    </w:p>
    <w:p>
      <w:r>
        <w:t>- 25 - péjoration subséquente de l'état de santé de la personne assurée (TF 9C_543/2007 du 28 avril 2008 consid. 5.2 ; SVR 2008 IV n° 52 p. 173).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c) L'accompagnement est régulier lorsqu'il est nécessaire en moyenne au moins deux heures par semaine (ch. 2012 CSI). Le Tribunal fédéral a reconnu que cette notion de la régularité était justifiée d’un point de vue matériel et partant conforme aux dispositions légales et réglementaires (ATF 133 V 450 consid. 6.2).</w:t>
      </w:r>
    </w:p>
    <w:p>
      <w:r>
        <w:rPr>
          <w:b/>
        </w:rPr>
        <w:t>E. 11</w:t>
      </w:r>
    </w:p>
    <w:p>
      <w:r>
        <w:t>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op.cit.,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 567/2019 du 23 décembre</w:t>
      </w:r>
    </w:p>
    <w:p>
      <w:r>
        <w:t>- 26 - 2019 consid. 6.2 ; 9C_539/2017 du 28 novembre 2017 consid. 5.2.1 et les références).</w:t>
      </w:r>
    </w:p>
    <w:p>
      <w:r>
        <w:rPr>
          <w:b/>
        </w:rPr>
        <w:t>E. 12</w:t>
      </w:r>
    </w:p>
    <w:p>
      <w:r>
        <w:t>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w:t>
      </w:r>
    </w:p>
    <w:p>
      <w:r>
        <w:t>- 27 -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w:t>
      </w:r>
    </w:p>
    <w:p>
      <w:r>
        <w:rPr>
          <w:b/>
        </w:rPr>
        <w:t>E. 13</w:t>
      </w:r>
    </w:p>
    <w:p>
      <w:r>
        <w:t>a) Sur le plan médical, il est établi que la recourante est atteinte dans sa santé tant du point de vue somatique que psychique. A l’occasion de la décision du 21 mai 2019, avaient été retenus les diagnostics de troubles mixtes de la personnalité, d’artériopathie des membres inférieurs, de cardiopathie ischémique, de syndrome abdominal chronique, de lombo-cruralgie droite et lombosciatalgie droite, ainsi que de douleurs mictionnelles (cf. rapports de la Dre D.________ du 20 avril 2018 avec ses annexes et du Dr I.________ du 24 avril 2018, ainsi que rapport d’enquête sur l’impotence du 15 mars 2019). b) Dans le cadre de la procédure de révision initiée en 2022, les diagnostics retenus sont globalement superposables à ceux mentionnés précédemment, en sus de la survenance d’une pullulation bactérienne chronique de l’intestin grêle, responsable d’une involution graisseuse du pancréas (cf. rapports du Dr I.________ du 10 janvier 2023 et ses annexes, ainsi que du Prof. F.________ du Centre hospitalier C.________ du 11 mai 2023). En outre, il a été relevé que l’état de santé de la recourante s’aggravait, notamment sur le plan de l’artériopathie des membres inférieurs au point de justifier la mise à disposition d’un fauteuil roulant (cf. communication du 4 novembre 2022). c) Force est donc de constater que l’état de santé de la recourante ne s’est pas modifié de manière significative, en tout cas pas dans le sens d’une amélioration, depuis la précédente décision au fond en matière d’impotence. Un motif de révision du degré d’impotence au sens de l’art. 17 al. 2 LPGA n’est par conséquent pas réalisé du point de vue médical.</w:t>
      </w:r>
    </w:p>
    <w:p>
      <w:r>
        <w:t>- 28 -</w:t>
      </w:r>
    </w:p>
    <w:p>
      <w:r>
        <w:rPr>
          <w:b/>
        </w:rPr>
        <w:t>E. 14</w:t>
      </w:r>
    </w:p>
    <w:p>
      <w:r>
        <w:t>a) Indépendamment de ce qui précède, les éléments pris en compte aux termes des rapports d’enquête en matière d’impotence des</w:t>
      </w:r>
    </w:p>
    <w:p>
      <w:r>
        <w:rPr>
          <w:b/>
        </w:rPr>
        <w:t>E. 15</w:t>
      </w:r>
    </w:p>
    <w:p>
      <w:r>
        <w:t>Quant à l’obligation de diminuer le dommage, on ne voit pas quelles mesures supplémentaires pourraient être prises par la recourante pour pallier son besoin d’assistance. Celle-ci est en effet dotée de moyens auxiliaires (notamment : tabouret de douche et fauteuil roulant) et ne peut avoir recours à l’aide de membres de sa famille, dans la mesure où elle vit seule.</w:t>
      </w:r>
    </w:p>
    <w:p>
      <w:r>
        <w:rPr>
          <w:b/>
        </w:rPr>
        <w:t>E. 16</w:t>
      </w:r>
    </w:p>
    <w:p>
      <w:r>
        <w:t>a) Etant donné les éléments qui précèdent, il convient de considérer que la recourante n’est pas en mesure de gérer seule sa vie quotidienne, vu qu’elle présente un besoin d’assistance – au minimum – pour tenir son ménage. On peut en conclure que la première alternative prévue à l’art. 38 al. 1 let. a RAI est toujours réalisée in casu. b) Il y a lieu également de retenir que la seconde éventualité, prévue par l’art. 38 al. 1 let. b RAI, correspond à la situation de la recourante, laquelle n’est pas en mesure faire face aux nécessités de la vie (déplacements) et d’établir des contacts sociaux sans l’accompagnement d’une tierce personne.</w:t>
      </w:r>
    </w:p>
    <w:p>
      <w:r>
        <w:rPr>
          <w:b/>
        </w:rPr>
        <w:t>E. 17</w:t>
      </w:r>
    </w:p>
    <w:p>
      <w:r>
        <w:t>S’agissant de l’accomplissement des actes ordinaires de la vie, il n’y a pas lieu en revanche de retenir les observations formulées par la recourante, singulièrement ses médecins traitants, au stade de la présente procédure. En particulier, les difficultés ayant trait au ménage et à la lessive ne constituent pas des fonctions des actes « faire sa toilette » et « se vêtir/se dévêtir », contrairement à ce qu’indique le Dr I.________ (cf. rapport du 1er avril 2023). Relativement aux actes « se vêtir/se dévêtir »,</w:t>
      </w:r>
    </w:p>
    <w:p>
      <w:r>
        <w:t>- 31 - « se lever/s’asseoir/se coucher », « manger », « faire sa toilette » et « aller aux toilettes », la recourante a concédé, lors de l’enquête réalisée en septembre 2022, être en mesure de les effectuer seule, ce qui n’apparaît pas en contradiction avec les informations médicales à disposition. Seul l’acte « se déplacer/entretenir des contacts sociaux » peut être sujet à discussion compte tenu des problèmes de mobilité de la recourante. Cela étant, dans la mesure où ces difficultés sont pour l’essentiel prises en compte au titre de l’accompagnement pour faire face aux nécessités de la vie et que la recourante dispose désormais d’un fauteuil roulant, on ne saurait prendre en compte un besoin d’assistance supplémentaire en l’état.</w:t>
      </w:r>
    </w:p>
    <w:p>
      <w:r>
        <w:rPr>
          <w:b/>
        </w:rPr>
        <w:t>E. 18</w:t>
      </w:r>
    </w:p>
    <w:p>
      <w:r>
        <w:t>Il n’y a à l’évidence pas lieu, en l’occurrence, de retenir un besoin de soins permanents ou de soins particulièrement astreignants au profit de la recourante, celle-ci ne bénéficiant plus de soins infirmiers et se trouvant parfaitement capable de se charger de sa médication quotidienne (cf. rapport d’enquête du 16 septembre 2022, point 4.3)</w:t>
      </w:r>
    </w:p>
    <w:p>
      <w:r>
        <w:rPr>
          <w:b/>
        </w:rPr>
        <w:t>E. 19</w:t>
      </w:r>
    </w:p>
    <w:p>
      <w:r>
        <w:t>On ne saurait davantage examiner la question de la surveillance personnelle de la recourante, en dépit de ses conclusions en ce sens aux termes de ses différentes écritures. Il apparaît en effet établi que la recourante vit seule dans son propre logement depuis de nombreuses années, sans que la présence constante d’un tiers ne soit nécessaire pour assurer sa sécurité.</w:t>
      </w:r>
    </w:p>
    <w:p>
      <w:r>
        <w:rPr>
          <w:b/>
        </w:rPr>
        <w:t>E. 20</w:t>
      </w:r>
    </w:p>
    <w:p>
      <w:r>
        <w:t>a) On retiendra en définitive que l’état de santé et le degré d’autonomie de la recourante ne se sont pas modifiés depuis la décision du 21 mai 2019 dans une mesure lui permettant de vivre de manière indépendante et de faire face aux nécessités de la vie, sans l’accompagnement d’une tierce personne. b) Dès lors que la preuve d’une amélioration de l'état de santé de la recourante, respectivement de son autonomie durable pour faire face aux nécessités de la vie sans accompagnement, n'a pas été rapportée au degré de la vraisemblance prépondérante par l’intimé, il</w:t>
      </w:r>
    </w:p>
    <w:p>
      <w:r>
        <w:t>- 32 - convient de constater l’absence d’un motif de révision au sens de l’art. 17 al. 2 LPGA justifiant la suppression de l’allocation pour impotent de degré faible servie depuis le 1er mars 2017. c) On ne saurait, cela étant, retenir une aggravation de la situation s’agissant de l’accomplissement des actes ordinaires de la vie ou de la survenance d’un besoin de soins qui justifierait une modification du degré d’impotence reconnu à l’issue de la décision du 21 mai 2019. Dans ce cadre, les éléments à disposition apparaissent suffisants pour trancher le cas d’espèce, de sorte qu’on ne voit pas que des mesures d’instruction complémentaires modifieraient le résultat de la présente procédure. Par conséquent, la requête d’expertise formulée par la recourante auprès de la Cour de céans peut être écartée par appréciation anticipée des preuves (cf. ATF 124 V 90 consid. 4b et 122 V 157 consid. 1d). d) Il s’ensuit que la recourante continue à avoir droit, en vertu de l’art. 37 al. 3 let. e RAI, à une allocation pour impotent de degré faible.</w:t>
      </w:r>
    </w:p>
    <w:p>
      <w:r>
        <w:rPr>
          <w:b/>
        </w:rPr>
        <w:t>E. 21</w:t>
      </w:r>
    </w:p>
    <w:p>
      <w:r>
        <w:t>a) Sur le vu de ce qui précède, le recours doit être admis et la décision de l’intimé du 25 janvier 2023 annulée.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Etant donné l’importance et la complexité du litige, il convient d’arrêter l’indemnité de dépens à 3’000 fr., débours et TVA compris, et de la mettre intégralement à la charge de l’intimé (art. 10 et 11 TFJDA [tarif du 28 avril 2015 des frais judiciaires et des dépens en matière administrative ; BLV 173.36.5.1]).</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