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ZD23.008431 vom 21. Oktober 2024</w:t>
      </w:r>
    </w:p>
    <w:p>
      <w:r>
        <w:t>VD Tribunal cantonal, 2024-10-21, FR</w:t>
      </w:r>
    </w:p>
    <w:p>
      <w:r>
        <w:rPr>
          <w:b/>
        </w:rPr>
        <w:t xml:space="preserve">Quelle: </w:t>
      </w:r>
      <w:r>
        <w:t>https://mcp.opencaselaw.ch/entscheid/vd_gerichte_ZD23.008431</w:t>
      </w:r>
    </w:p>
    <w:p>
      <w:r>
        <w:t>FR: VD_GERICHTE ZD23.008431 du 21 octobre 2024</w:t>
      </w:r>
    </w:p>
    <w:p>
      <w:r>
        <w:t>IT: VD_GERICHTE ZD23.008431 del 21 ottobre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w:t>
      </w:r>
    </w:p>
    <w:p>
      <w:r>
        <w:t>- 14 -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w:t>
      </w:r>
    </w:p>
    <w:p>
      <w:r>
        <w:t>- 17 -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la situation par analogie avec l’art. 17 al. 1 LPGA. Aux termes de cette disposition, si le taux d’invalidité du bénéficiaire de la rente subit une modification d’au moins 5 points de pourcentage ou atteint 100 %, la rente est, d’office ou sur demande, révisée pour l’avenir, à savoir augmentée, réduite, ou encore supprimée.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Conformément à l’art. 88a al. 2 RAI, si la capacité de gain de la personne assurée ou sa capacité d’accomplir les travaux habituels se dégrade, ce changement est déterminant pour l’accroissement du droit aux prestations dès qu’il a duré trois mois sans interruption notable.</w:t>
      </w:r>
    </w:p>
    <w:p>
      <w:r>
        <w:t>- 15 -</w:t>
      </w:r>
    </w:p>
    <w:p>
      <w:r>
        <w:rPr>
          <w:b/>
        </w:rPr>
        <w:t>E. 5.1</w:t>
      </w:r>
    </w:p>
    <w:p>
      <w:r>
        <w:t>; 125 V 351 consid. 3a ; TF 8C_510/2020 du 15 avril 2021 consid. 2.4).</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7</w:t>
      </w:r>
    </w:p>
    <w:p>
      <w:r>
        <w:t>a) Les affections psychiques, les affections psychosomatiques et les syndromes de dépendance à des substances psychotropes doivent</w:t>
      </w:r>
    </w:p>
    <w:p>
      <w:r>
        <w:t>- 16 -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8</w:t>
      </w:r>
    </w:p>
    <w:p>
      <w:r>
        <w:t>En l’espèce, l’OAI est entré en matière sur la nouvelle demande de prestations déposée le 3 août 2021 par le recourant. Afin d’évaluer la capacité de travail du recourant et ses limitations fonctionnelles, l’OAI a confié la réalisation d’un examen psychiatrique au Dr N.________ qui a rendu son rapport le 30 juin 2022. L’intimé s’est fondé sur le rapport du Dr N.________ pour reconnaître au recourant une pleine capacité de travail dans toutes activités avec une baisse de rendement de 30 %. Le recourant a fait valoir en recours que cette expertise n’était pas probante. a) En l’occurrence, l’expertise du Dr N.________ ne permettait pas à la Cour de céans de se prononcer sur la capacité de travail du recourant sur le plan psychiatrique. En effet, l’expert N.________ a posé les diagnostics sans incidence sur la capacité de travail de trouble mixte de la personnalité émotionnellement labile de type impulsif et dépendante, de dépendance à</w:t>
      </w:r>
    </w:p>
    <w:p>
      <w:r>
        <w:t>- 18 - plusieurs substances avec utilisation épisodique (cannabis, cocaïne, alcool) depuis plusieurs décades avec des consommations variables et de trouble de l’attention avec hyperactivité légère durant l’enfance mais pas actuellement. Il a conclu que ces différents troubles n’avaient pas empêché le recourant de se former et de travailler dans le passé sans difficultés. L’expert a ainsi considéré que le recourant disposait d’une entière capacité de travail tant dans son ancienne activité que dans une activité adaptée avec une baisse de rendement de 30 %. Or on ne voit pas comment le recourant pourrait encore exercer son ancienne activité qui se déroulait dans un environnement complexe dicté par quatre critères essentiels, à savoir la qualité, les coûts, les délais et les risques. Cette activité demandait en outre une grande résilience quant à la pression et une capacité à communiquer efficacement avec l’ensemble des interlocuteurs (cf. questionnaire pour l’employeur complété le 20 novembre 2018). Les conclusions du Dr N.________ ne correspondent par ailleurs pas au parcours du recourant qui est devenu dépendant à la cocaïne après la séparation d’avec son épouse en 2016, a connu une grosse dépression et des arrêts de travail en 2017 et 2018, des hospitalisations à la Clinique [...] en 2019 et 2020 ainsi qu’à la Fondation [...]. De plus, il paraît difficile pour le recourant d’exercer une activité exigeante au vu de sa personnalité et de son comportement. En effet, le recourant s’est fait renvoyer du foyer [...] (cf. rapport du 25 janvier 2022), n’a pu donner des cours d’informatique que pendant deux mois en raison d’une fragilisation psychique (p. 17 du rapport du 30 juin 2022) et a été décrit comme inadéquat lors de l’examen neurologique (cf. rapport du 25 avril 2023 des psychologues W.________ et V.________). Son rythme de vie ne permet en outre pas de retenir comme possible une capacité de travail de 70 %, le recourant sortant boire un verre et faire la fête presque tous les jours, se levant entre midi et 15h et se couchant entre 3h et 6h du matin, son rythme variant en fonction des prises de cocaïne dans la journée (pp. 18 ss du rapport du 30 juin 2022). En outre, l’expert n’a pas expliqué pourquoi les troubles du recourant n’étaient pas incapacitants, se contentant d’indiquer que ce dernier avait pu se former et travailler sans difficulté par le passé. Le Dr N.________ a également retenu que le recourant ne présentait pas de limitations fonctionnelles significative du</w:t>
      </w:r>
    </w:p>
    <w:p>
      <w:r>
        <w:t>- 19 - moment qu’il gérait son quotidien sans difficultés objectivables en dehors du ménage et de l’administratif, qu’il gérait les courses, la préparation des repas, qu’il se déplaçait sans difficultés, avec des activités plaisantes diverses dans le quotidien nécessitant de la concentration comme la lecture, surfer sur internet et sans isolement social. Un tel raisonnement est toutefois discutable dans la mesure où ces activités sont peu, voire pas stressantes et sont donc peu représentatives de la capacité du recourant à pouvoir répondre durablement aux exigences du marché du travail. Le Dr N.________ n’a pas non plus expliqué pourquoi il n’avait pas retenu les limitations fonctionnelles mentionnées par le Dr L.________ dans son rapport du 12 octobre 2021, à savoir une immaturité affective avec tendance à créer des liens de dépendance relationnelle pathologique et à agir de manière impulsive, identité et estime de soi très fragiles, équilibre thymique peu solide, très faible tolérance au stress et à la frustration sans singes de la lignée psychotique, se limitant à constater que l’examen clinique n’avait pas objectivé de limitations fonctionnelles. Surtout, l’expert n’a pas expliqué pourquoi il avait considéré que le TDAH n’était pas incapacitant alors même que les différents médecins traitants ont tous retenu ce diagnostic (cf. rapports des 30 octobre 2019 et 8 juin 2020 du Dr D.________, du 10 juin 2020 de la Dre R.________, du 17 mai 2021 de la Dre F.________ et du 12 octobre 2021 du Dr L.________). Enfin, le Dr N.________ a indiqué que l’absence d’un changement d’antidépresseur et l’absence d’un suivi hebdomadaire psychiatrique plaidaient aussi indirectement contre des troubles psychiatriques incapacitant et contre des limitations fonctionnelles alors que le recourant a été suivi par le Dr L.________, que l’expert n’a pas pris la peine de contacter, puis par le Dr K.________. On relèvera finalement que l’expert n’a jamais répondu aux diverses demandes de l’OAI de lui fournir les enregistrements sonores de l’expertise (cf. courriers des 17 août, 6 et 29 septembre 2022). En définitive, les divers éléments mentionnés ci-dessus suffisent à démontrer que l’expertise du Dr N.________, lacunaire sur plusieurs points, est dénuée de force probante. b) Il se justifiait ainsi de mettre en œuvre une expertise psychiatrique judiciaire, laquelle a été confiée au Dr T.________.</w:t>
      </w:r>
    </w:p>
    <w:p>
      <w:r>
        <w:t>- 20 - aa) Sur le plan formel, le rapport d’expertise du 21 mars 2024 satisfait aux réquisits auxquels la jurisprudence soumet la valeur probante d’un tel document. En effet, l’expert a rencontré le recourant le 28 février 2024 et s’est entretenu par téléphone avec le Dr K.________, psychiatre traitant. Il a établi son rapport sur la base d’une anamnèse détaillée et complète, en tenant compte de l’ensemble de la documentation médicale au dossier, des plaintes exprimées par le recourant, de ses antécédents, du déroulement de sa journée type et de son traitement. Les conclusions du Dr T.________, prises sur la base d’une description claire du contexte médical, sont dûment motivées, claires et exemptes de contradiction. Il a été en mesure de discuter en détail les diagnostics retenus et leurs effets sur la capacité de travail du recourant. bb) Sur le plan matériel, le Dr T.________ a expliqué pourquoi il avait retenu chaque diagnostic. Ainsi, il a indiqué retenir le diagnostic de trouble dépressif récurrent actuellement en rémission complète dans la mesure où le recourant ne se sentait pas déprimé, que l’examen psychiatrique montrait un homme euthymique et qu’aucun traitement antidépresseur n’avait été prescrit depuis la première partie de l’année 2023. S’agissant du diagnostic de trouble du déficit de l’attention avec hyperactivité, présentation combinée, il a expliqué que l’aspect hyperactif et impulsif, qui se retrouvait déjà dans l’enfance, persistait à l’âge adulte et qu’il ressortait de l’examen psychiatrique. L’expert a encore retenu le diagnostic de trouble modéré de la personnalité/affectivité négative et état limite, ce trouble de la personnalité paraissant décompensé depuis au moins son premier sevrage en octobre 2019. Enfin, l’expert a posé les diagnostics de dépendance au cannabis, consommation actuelle, ainsi que de dépendance à la cocaïne rémission complète précoce précisant que ces dépendances étaient plutôt secondaires aux troubles de la personnalité et déficit de l’attention avec hyperactivité. Le Dr T.________ a encore indiqué que le déficit de l’attention avec hyperactivité et le trouble de la personnalité étaient à l’origine des limitations fonctionnelles suivantes : difficultés dans la gestion des émotions avec instabilité de l’humeur, difficultés dans la gestion de la colère, impulsivité, difficultés liées aux</w:t>
      </w:r>
    </w:p>
    <w:p>
      <w:r>
        <w:t>- 21 - tâches administratives, hypersensibilité au stress et diminution de la capacité d’adaptation au changement. L’expert a également procédé à l’évaluation du caractère incapacitant des atteintes au regard des indicateurs jurisprudentiels applicables (cf. supra consid. 7c) en discutant du traitement du recourant, des mesures de réadaptation, des chances de guérison et en appréciant ses ressources (cf. ch. 7 du rapport du 21 mars 2024). Enfin, l’expert a considéré que le recourant disposait d’une capacité de travail nulle dans l’activité habituelle depuis le premiers sevrage en octobre 2019. Il a également estimé que la capacité de travail dans une activité adaptée était nulle d’octobre 2019 jusqu’à l’été 2023, puis de 40 % dès ce moment. Il a précisé que l’activité adaptée impliquait peu de stress, peu d’adaptation permanente, sans tâche complexe, ni responsabilité. L’expertise du Dr T.________ est probante, et permet à la Cour de céans de statuer en pleine connaissance de cause, la mise en œuvre d’un complément d’instruction tel que requis par l’intimé n’apparaîssant pas de nature à apporter un éclairage différent sur les éléments retenus ci-dessus et peut dès lors être écartée par appréciation anticipée des preuves (ATF 144 II 427 consid. 3.1.3 ; 140 I 285 consid. 6.3.1). c) Vu ce qui précède, il y a lieu de retenir que le recourant s’est retrouvé totalement incapable de travailler dans toutes activités en octobre 2019, début du délai d’attente d’un an. Au mois d’octobre 2020, il était toujours totalement incapable de travailler dans toutes activités. Le recourant ayant déposé sa demande de prestations le 3 août 2021, le droit à une rente est ouvert dès le 1er février 2022 (à savoir six mois suivant le dépôt de la demande de prestations [cf. art. 29 al. 1 LAI]). A partir de l’été 2023, le recourant a recouvré selon l’expert judiciaire une capacité de travail de 40 % dans une activité adaptée à ses limitations fonctionnelles. Il convient dès lors de calculer son préjudice économique dès le 1er octobre 2023, soit trois mois après l’amélioration de son état de santé constatée par le Dr T.________ [cf. art. 88a RAI]).</w:t>
      </w:r>
    </w:p>
    <w:p>
      <w:r>
        <w:t>- 22 -</w:t>
      </w:r>
    </w:p>
    <w:p>
      <w:r>
        <w:rPr>
          <w:b/>
        </w:rPr>
        <w:t>E. 9</w:t>
      </w:r>
    </w:p>
    <w:p>
      <w:r>
        <w:t>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8C_2/2023 du 7 septembre 2023 consid. 3.2). 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w:t>
      </w:r>
    </w:p>
    <w:p>
      <w:r>
        <w:t>- 23 - défaut, sur l’évolution des salaires nominaux (par ex. : TF 9C_192/2014 du 23 septembre 2014 consid. 4.2). c) aa)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bb) Selon l’art. 26bis al. 3 RAI (dans sa version en vigueur du 1er janvier au 31 décembre 2023),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cc) Selon l’art. 26bis al. 3 RAI (dans sa version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 En l’espèce, le degré d’invalidité du recourant doit être calculé à l’aune de l’année 2023, année au cours de laquelle il a recouvré une capacité de travail de 40 %. S’agissant du revenu sans invalidité, il ressort du questionnaire pour l’employeur du 20 novembre 2018 que le recourant a touché un salaire de 191'472 fr. 50 en 2017 qu’il convient dès lors d’indexer à 2023 (cf. ATF 144 I 103 consid. 5.3 ; 134 V 322 consid. 4.1). La variation des salaires nominaux des hommes en 2018 a été de 0.5 % par rapport à l’année précédente, de 0.9 % en 2019, de 0.9 % en 2020, de - 0.7 % en 2021, de 1.1 % en 2022 et de 1.7 % en 2023 (cf. Tableau T39 « évolution des salaires nominaux, des prix à la consommation et des salaires réels » ; TF 9C_847/2018 du 2 avril 2019 consid. 6.1.2), portant le revenu sans invalidité à 199'823 fr. 03.</w:t>
      </w:r>
    </w:p>
    <w:p>
      <w:r>
        <w:t>- 24 - Pour le revenu avec invalidité, il doit être déterminé selon les données statistiques de l’ESS 2022, indexé à 2023 (+ 1.7 % [cf. tableau T39 précité]), en se référant au revenu mensuel brut pour une activité simple et répétitive (tableau TA1_skill_level, niveau de qualification 1), adapté à la durée moyenne du travail en Suisse (41.7 heures), pour un taux d’activité de 40 % avec un abattement de 10 % (cf. consid. 9b supra). Le revenu avec invalidité se monte dès lors à 24'297 fr. 75. La comparaison des revenus [199'823 fr. 03 – 24'297 fr. 75 / 199'823 fr. 03 x 100] induit un degré d’invalidité de 87,84 %, taux qui ouvre le droit à une rente entière. Compte tenu du fait que le recourant a droit à une rente entière, il n’est pas nécessaire de procéder à un nouveau calcul de l’invalidité pour tenir compte de la modification du 1er janvier 2024 (cf. consid. 9b supra).</w:t>
      </w:r>
    </w:p>
    <w:p>
      <w:r>
        <w:rPr>
          <w:b/>
        </w:rPr>
        <w:t>E. 10</w:t>
      </w:r>
    </w:p>
    <w:p>
      <w:r>
        <w:t>a) Au vu de ce qui précède, le recours doit être admis et la décision attaquée réformée en ce sens que le recourant a droit à une rente entière d’invalidité dès le 1er février 2022.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