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ZD23.007834 vom 27. September 2024</w:t>
      </w:r>
    </w:p>
    <w:p>
      <w:r>
        <w:t>VD Tribunal cantonal, 2024-09-27, FR</w:t>
      </w:r>
    </w:p>
    <w:p>
      <w:r>
        <w:rPr>
          <w:b/>
        </w:rPr>
        <w:t xml:space="preserve">Quelle: </w:t>
      </w:r>
      <w:r>
        <w:t>https://mcp.opencaselaw.ch/entscheid/vd_gerichte_ZD23.007834</w:t>
      </w:r>
    </w:p>
    <w:p>
      <w:r>
        <w:t>FR: VD_GERICHTE ZD23.007834 du 27 septembre 2024</w:t>
      </w:r>
    </w:p>
    <w:p>
      <w:r>
        <w:t>IT: VD_GERICHTE ZD23.007834 del 27 settembre 2024</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w:t>
      </w:r>
    </w:p>
    <w:p>
      <w:r>
        <w:t>- 18 -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w:t>
      </w:r>
    </w:p>
    <w:p>
      <w:r>
        <w:rPr>
          <w:b/>
        </w:rPr>
        <w:t>E. 5</w:t>
      </w:r>
    </w:p>
    <w:p>
      <w:r>
        <w:t>Lorsque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w:t>
      </w:r>
    </w:p>
    <w:p>
      <w:r>
        <w:rPr>
          <w:b/>
        </w:rPr>
        <w:t>E. 6</w:t>
      </w:r>
    </w:p>
    <w:p>
      <w:r>
        <w:t>a) Pour évaluer le degré d’invalidité, il existe principalement trois méthodes – la méthode générale de comparaison des revenus, la méthode spécifique et la méthode mixte – dont l’application dépend du</w:t>
      </w:r>
    </w:p>
    <w:p>
      <w:r>
        <w:t>- 19 - statut du bénéficiaire potentiel de la rente : assuré exerçant une activité lucrative à temps complet, assuré non actif, assuré exerçant une activité lucrative à temps partiel. aa) Pour un assuré qui exerçait une activité lucrative à plein temps avant d’être atteint dans sa santé physique, mentale ou psychique, il y a lieu de déterminer l’ampleur de la diminution de ses possibilités de gain,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dans sa teneur en vigueur jusqu’au 31 décembre 2021, en corrélation avec l’art. 16 LPGA) et ses sous-variantes, la méthode de comparaison en pour-cent (ATF 114 V 310 consid. 3a et les références citées) et la méthode extraordinaire de comparaison des revenus (ATF 128 V 29 ; voir également TF 9C_236/2009 du 7 octobre 2009 consid. 3 et 4, in : SVR 2010 IV n° 11 p. 35). bb) Pour un assuré qui n’exerçait pas d’activité lucrative avant d’être atteint dans sa santé physique, mentale ou psychique et dont il ne peut être exigé qu’il en exerce une, il y a lieu d’effectuer une comparaison des activités, en cherchant à établir dans quelle mesure il est empêché d’accomplir ses travaux habituels ; c’est la méthode spécifique d’évaluation de l’invalidité (art. 28a al. 2 LAI, dans sa teneur en vigueur jusqu’au 31 décembre 2021, en corrélation avec l’art. 8 al. 3 LPGA). Par travaux habituels, il faut notamment entendre l’activité usuelle dans le ménage, ainsi que les soins et l’assistance apportés aux proches (art. 27 al. 1 RAI ; cf. Margit Moser-Szeless, in Dupont/Moser-Szeless [édit.], Loi sur la partie générale des assurances sociales, Commentaire romand, Bâle 2018, n° 52 ad art. 16 LPGA). cc) Pour un assuré qui n’exerçait que partiellement une activité lucrative, l’invalidité est, pour cette part, évaluée selon la méthode générale de comparaison des revenus. S’il se consacrait en outre</w:t>
      </w:r>
    </w:p>
    <w:p>
      <w:r>
        <w:t>- 20 - à ses travaux habituels au sens des art. 8 al. 3 LPGA et 28a al. 2 LAI (dans sa teneur en vigueur jusqu’au 31 décembre 2021),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(art. 28a al. 3 LAI, dans sa teneur en vigueur jusqu’au 31 décembre 2021, en corrélation avec l’art. 27bis RAI, dans sa teneur en vigueur jusqu’au 31 décembre 2021 ; voir par ailleurs ATF 131 V 51 consid. 5.1.2). b)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citées). c) En l’espèce, dans l’arrêt du 27 mai 2015 (AI 47/14 – 138/2015, consid. 4), la Cour de céans a retenu qu’il fallait considérer que la méthode mixte d’évaluation de l’invalidité s’appliquait au cas d’espèce, en tenant compte d’une répartition de 50/50 entre la part du temps</w:t>
      </w:r>
    </w:p>
    <w:p>
      <w:r>
        <w:t>- 21 - consacrée par la recourante à l’exercice d’une activité lucrative et celle vouée à ses activités ménagères. Ce statut a été repris dans la décision attaquée, notamment sur la base de l’évaluation économique du ménage du 3 décembre 2020, et n’est pas contesté par la recourante. Il peut donc être confirmé et c’est ainsi à juste titre que l’OAI a appliqué la méthode mixte d’évaluation de l’invalidité.</w:t>
      </w:r>
    </w:p>
    <w:p>
      <w:r>
        <w:rPr>
          <w:b/>
        </w:rPr>
        <w:t>E. 7</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w:t>
      </w:r>
    </w:p>
    <w:p>
      <w:r>
        <w:t>- 22 - n’est ni l’origine du moyen de preuve, ni sa désignation comme rapport ou comme expertise, mais bel et bien son contenu (ATF 134 V 231 consid. 5.1 ; 125 V 351 consid. 3a ; TF 8C_510/2020 du 15 avril 2021 consid. 2.4). Cela étant,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appartient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9C_631/2012 du</w:t>
      </w:r>
    </w:p>
    <w:p>
      <w:r>
        <w:rPr>
          <w:b/>
        </w:rPr>
        <w:t>E. 9</w:t>
      </w:r>
    </w:p>
    <w:p>
      <w:r>
        <w:t>a) Dans sa décision du 31 janvier 2014, confirmée par arrêt de la Cour de céans du 27 mai 2015, l’intimé a octroyé à la recourante un quart de rente d’invalidité pour la période du 1er juillet 2009 au 31 janvier 2010. A compter du 1er février 2010, le degré d’invalidité présenté par la recourante et calculé sur la base de la méthode mixte d’évaluation était insuffisant pour ouvrir le droit à une rente. Dans l’arrêt précité, le Tribunal a confirmé que la capacité de travail dans une activité adaptée de la recourante s’élevait à 50 %, en se fondant sur le rapport d’expertise judiciaire du 5 avril 2011 de la D.________ qui avait été mise en œuvre lors de la précédente procédure de recours et qui jouissait d’une pleine valeur probante. Conformément à ce rapport d’expertise judiciaire, des limitations fonctionnelles d’ordre neurologique et rhumatologique devaient être admises chez la recourante pour les mouvements nécessitant une flexion antérieure du tronc de manière répétée, le levage régulier et répétitif de charges égales ou supérieures à 10 kg, les mouvements en porte-à-faux répétitifs, les activités monotones et l’exposition à des vibrations corporelles. Sous l’angle neurologique, la capacité de travail dans une activité adaptée était de 50 %. Dans leur rapport d’expertise complémentaire du 11 octobre 2011, les Drs [...] et F.________ avaient encore précisé que les problèmes psychiques rencontrés par la recourante participaient aux limitations, mais dans une moindre mesure, et n’empêchaient pas l’exercice d’une activité lucrative à 50 %.</w:t>
      </w:r>
    </w:p>
    <w:p>
      <w:r>
        <w:t>- 25 - b) Dans sa décision du 12 janvier 2023, objet de la présente procédure, l’intimé a refusé d’accorder une rente à la recourante, considérant qu’elle présentait une capacité de travail de 70 % dans une activité adaptée. Il s’est fondé sur le rapport d’expertise du 21 juillet 2020 du CF.________, laquelle comporte un volet en médecine interne, un volet psychiatrique et un volet rhumatologique. L’expert en rhumatologie a retenu une pleine capacité de travail dans une activité adaptée, malgré le diagnostic incapacitant de status post chirurgie lombaire à deux reprises en 2004 et 2009 avec syndrome de dysbalance musculaire, et l’expert en médecine interne a retenu qu’il n’y avait aucune limitation fonctionnelle de cet ordre. En revanche, la capacité de travail dans une activité adaptée de l’assurée était de 70 % sous l’angle psychiatrique compte tenu du diagnostic incapacitant d’épisode dépressif léger, sans syndrome somatique (F32.00). La recourante estime que l’intimé ne pouvait pas se fonder exclusivement sur ce rapport d’expertise qui ne comprend pas de volet neurologique. Ainsi, le volet neurologique de l’expertise de la D.________ garderait toute sa pertinence, faute d’avoir été remis en cause, de sorte que son incapacité de travail dans une activité adaptée serait de 80 %, soit 50 % d’un point de vue neurologique, mais aussi 30 % d’un point de vue psychiatrique selon l’expertise du CF.________. En outre, l’expertise du CF.________ et les rapports médicaux psychiatriques produits avant la décision entreprise démontreraient une aggravation de son état de santé sur le plan psychiatrique, alors que, lors de l’expertise de la D.________, aucune atteinte incapacitante n’avait été retenue sur le plan psychiatrique s’agissant d’une activité adaptée. En conséquence, sa capacité de travail dans une activité adaptée actuelle devrait être inférieure à celle retenue en 2014. c) Il convient en conséquence d’examiner si le rapport d’expertise du CF.________ remplit les réquisits jurisprudentiels pour se voir accorder une pleine valeur probante, respectivement si l’intimé a statué sur la base d’un dossier suffisamment instruit.</w:t>
      </w:r>
    </w:p>
    <w:p>
      <w:r>
        <w:t>- 26 - aa) Sur le plan somatique, la recourante ne formule pas de grief contre le volet de médecine interne de l’expertise du CF.________. Force est de constater que le Dr BE.________ a procédé à un examen de l’ensemble des pièces au dossier. Il a notamment pris en compte l’examen neurologique du 3 février 2011 du Dr V.________ dans l’expertise pluridisciplinaire du 5 avril 2011 de la D.________ en tant qu’il portait sur les céphalées, lesquelles relevaient d’après lui de la médecine interne. Ces deux médecins ont retenu que les céphalées ne représentaient pas une cause d’incapacité de travail significative. Pour le reste, le Dr BE.________ a retenu que les diagnostics incapacitants posés par le Dr AB.________ dans son rapport du 12 novembre 2019 et dans le rapport du 11 avril 2020 du [...] ne relevaient pas de la médecine interne (cf. chiffre II.6.a.4 p. 30 du rapport d’expertise du CF.________). Le Dr BE.________ a ainsi relevé que la recourante ne souffrait d’aucun diagnostic incapacitant en médecine interne, retenant uniquement des diagnostics non incapacitants, en accord avec les autres rapports médicaux au dossier. Au niveau rhumatologique, l’intéressée s’est vu diagnostiquer en 2011 des lombo-pseudo-sciatalgies gauches chroniques avec failed back surgery syndrome, une cure de hernie discale L5-S1 gauche à deux reprises pour hernie discale L5-S1 gauche ainsi qu’une discopathie L5-S1 par le Dr T.________ (cf. p. 16 du rapport d’expertise du 5 avril 2011 de la D.________). Le Dr HF.________ a, quant à lui, retenu comme diagnostic ayant une incidence sur la capacité de travail celui de status post chirurgie lombaire à deux reprises en 2004 et 2009 avec syndrome de dysbalance musculaire. Sans incidence sur la capacité de travail était le diagnostic de polyarthrite rhumatoïde séronégative, stabilisée. Ce faisant, cet expert n’a pas expliqué pourquoi il ne retenait pas le diagnostic posé en 2011 de lombalgies par le Dr T.________ (cf. chiffre IV.6.a.4 p. 74 du rapport d’expertise du CF.________), alors même qu’il indique que, du point de vue rhumatologique, depuis 2015, les douleurs lombaires n’ont pas souffert de changement (cf. p. 15 idem). Si, à l’instar de son homologue, le Dr T.________ en 2011, l’expert rhumatologue a retenu un taux de capacité de travail de 100 % dans un emploi adapté, on doit admettre que l’appréciation émise par le Dr HF.________ ne repose pas sur une prise en</w:t>
      </w:r>
    </w:p>
    <w:p>
      <w:r>
        <w:t>- 27 - compte complète de l’évolution globale de l’atteinte lombaire depuis 2011. Le dossier ne contenant aucune appréciation médicale claire sur cet aspect, on ignore, par conséquent, si l’évolution des troubles lombaires engendre des répercussions supplémentaires du point de vue de la capacité de travail et des limitations fonctionnelles de la recourante. En tant qu’elles reposent ainsi sur une analyse carencée de l’atteinte lombaire, les conclusions expertales apparaissent par conséquent sujettes à caution. Au demeurant, on doit encore relever que le mandat confié au CF.________ aurait dû inclure un volet neurologique en présence de troubles lombaires, lesquels avaient été investigués en 2011 par le Dr V.________ qui avait retenu un tableau de lombosciatalgies chronifiées relativement atypiques, avec comme seul signe d’atteinte radiculaire certain une hyporéflexie achilléenne gauche et des troubles sensitivo- moteurs relativement mal systématisés et un EMG [électromyogramme] sans anomalie en tous les cas active certaine. Sur le plan de la capacité de travail, ce médecin avait relevé qu’il était évident que le status après deux cures de hernie discale et les anomalies intrarachidiennes mises en évidence à l’IRM de contrôle de mars 2010 permettaient de conclure que la recourante présentait une incapacité de travail complète et définitive dans l’activité de femme de ménage/nettoyeuse ainsi que dans toute autre activité similaire. S’agissant de la capacité de travail résiduelle dans une activité adaptée, ce praticien estimait que la recourante pouvait théoriquement travailler au moins à 50 % dans une activité légère, ne nécessitant pas le port régulier de charge de plus de 10 kg et autorisant des changements fréquents de position assis/debout. Les atteintes neurologiques figuraient au premier plan des limitations fonctionnelles retenues par l’expertise de la D.________ de 2011 et justifiaient une capacité de travail de 50% dans une activité adaptée. Compte tenu de la problématique neurologique présentée en 2011 par la recourante et des importantes limitations fonctionnelles en découlant, cet aspect appelait à l’évidence une appréciation spécialisée actualisée afin d’analyser les diagnostics pertinents et leurs éventuelles</w:t>
      </w:r>
    </w:p>
    <w:p>
      <w:r>
        <w:t>- 28 - répercussions sur la capacité de travail, voire leur interaction avec les autres troubles de la recourante. Or, rien au dossier ne permet de se positionner sur ces questions. Aucun des médecins interpellés n’était neurologue et a donc formulé d’appréciation spécialisée sur cette problématique. Force est d’admettre que des investigations supplémentaires étaient nécessaires et les lacunes au dossier ne pouvaient en tous les cas pas être assimilées à l’absence d’élément concret susceptible de se répercuter du point de vue neurologique sur la capacité de travail de la recourante. Dans ces conditions, on ne saurait se rallier à la position de l’intimé. Force est donc de constater que l’instruction menée par l’intimé est insuffisante sous l’angle somatique. bb) Sur le plan psychiatrique, il y a lieu de relever que le Dr DG.________, tout comme le Dr F.________ en 2011, a diagnostiqué un épisode dépressif léger, sans syndrome somatique (F32.00). Si ces experts s’entendent sur le même diagnostic, le Dr DG.________ a toutefois retenu ce dernier comme incapacitant, contrairement à son confrère. Ainsi, l’expert a conclu à une capacité de travail médico-théorique de 70 % depuis l’expertise de 2011, en précisant qu’il y avait eu une aggravation de l’état psychique avec une dépression d’intensité moyenne se situant en novembre 2015 avec médico-théoriquement une capacité de travail de 50 % jusqu’au rapport du 3 novembre 2017. Avec un traitement optimal, la capacité de travail devrait être de 100 % dans un délai de huit semaines (cf. chiffre III.6.a.4 p. 49 du rapport d’expertise du CF.________). Pour poser ce diagnostic, l’expert du CF.________ a indiqué que l’examen psychiatrique mené n’avait pas mis en évidence de ralentissement psychomoteur net englobant l’ensemble de l’activité motrice. Ainsi, il n’avait pas été retrouvé de ralentissement dans Ia gestuelle accompagnant Ia discussion, Ia mimique ainsi que le langage. Il n'avait pas été retrouvé non plus de symptôme physique pouvant être rattaché à des troubles anxieux. La personne assurée n’avait pas verbalisé d’émotion en rapport avec une problématique anxieuse. Il n'avait pas été</w:t>
      </w:r>
    </w:p>
    <w:p>
      <w:r>
        <w:t>- 29 - retrouvé d’idée suicidaire. La tristesse et les pleurs étaient apparus un court instant quand il lui avait été demandé d’évoquer son état actuel. Le reste de l'examen, la personne assurée était euthymique (cf. chiffre III.6.a.4 p. 48 du rapport d’expertise du CF.________). On ne peut que relever que l’expert a réfuté toute anxiété généralisée en se contentant de renvoyer laconiquement à l’absence de signe clinique lors de l’entretien, puis il a conclu à un trouble dépressif léger en indiquant que : « sur le plan sémiologique, l’élément qui revenait constamment était la perte de l’élan vital, I’anhédonie ainsi que la fatigabilité, rattachées par la personne assurée à ses douleurs et à ses troubles du sommeil. Les éléments dépressifs n'étaient pas plus marqués Ie matin. Il n’y a pas de perte d’appétit ni d’amaigrissement. Sinon, en prenant en compte l’examen clinique et les éléments rapportés par la personne assurée ainsi que ses thérapeutes, il est retrouvé une réduction de l’énergie et une augmentation de la fatigabilité, une perte de confiance en soi, une perturbation du sommeil, une humeur dépressive et en tout cas inconstante et variable selon les conditions contextuelles » (cf. chiffre III.6.a.4 p. 48 idem), alors même que la recourante a expliqué, lors de son examen, souffrir d’une aggravation des troubles de l’humeur (cf. chiffre III.7.a. p. 50 idem), confirmée ultérieurement par la Dre Z.________. Le Dr DG.________ a simplement écarté le diagnostic d’épisode dépressif récurrent en exposant que ce dernier supposait « selon la ClM-10 la présence dans le passé d’au moins 1 épisode dépressif séparé de l’épisode actuel par une période d’au moins 2 mois sans perturbation significative de l’humeur » (cf. chiffre III.6.a.4 p. 49 idem). En termes de sévérité, le Dr DG.________ a expliqué que le diagnostic d’épisode dépressif ne rencontrait pas le nombre de critères suffisants pour être qualifié de « moyen » (cf. chiffre III.6.a.4 p. 49 idem). En l’absence d’une discussion objective et dûment étayée autour du diagnostic écarté d’épisode dépressif moyen, la position défendue par le Dr DG.________ n’apparaît pas convaincante sous cet angle déjà. L’expert psychiatre fonde notamment son argumentation et ses conclusions sur le traitement mis en place qui ne correspondrait pas aux règles d’un traitement antidépresseur en termes de doses et de choix de molécule et que la recourante aurait arrêté de son propre chef les traitements</w:t>
      </w:r>
    </w:p>
    <w:p>
      <w:r>
        <w:t>- 30 - antidépresseurs prescrits en raison d’effets secondaires, sans qu’il soit retrouvé dans les rapports de tentative de mise en place d’autres traitements antidépresseurs (cf. chiffre III.6.a.4 p. 49 idem). Or, il est le lieu de constater que l’expert psychiatre n’a pas pris contact avec le psychiatre traitant de la recourante, ce qui aurait été utile pour connaître les raisons non seulement d’un tel traitement mais également de l’éventuel raison de la non-compliance de la recourante, d’autant plus que l’expert psychiatre n’a mentionné comme traitement que le Trittico 50 mg (cf. chiffre III.3.b.11 p. 46 idem) – alors que l’expert en médecine interne a tout de même noté l’Atarax (cf. chiffre II.3.b.11 p. 27 idem) – et que la Dre Z.________ a indiqué que la recourante prenait 150 mg de Trittico et 25 mg d’Atarax (cf. rapport du 30 mars 2021). De tels traitements rendent clairement compte de l’importance de la symptomatologie développée par la recourante et ne sauraient avoir été prescrits à la légère par des spécialistes. Enfin, le Dr DG.________ s’est basé sur le rapport du</w:t>
      </w:r>
    </w:p>
    <w:p>
      <w:r>
        <w:rPr>
          <w:b/>
        </w:rPr>
        <w:t>E. 10</w:t>
      </w:r>
    </w:p>
    <w:p>
      <w:r>
        <w:t>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 SVR 2007 UV n° 33 p. 111 ; Ueli Kieser, ATSG- Kommentar, 2e éd., n° 12 et 17 ad art. 43 LPGA).</w:t>
      </w:r>
    </w:p>
    <w:p>
      <w:r>
        <w:t>- 33 - c)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d) En l’espèce, il ne pouvait échapper à l’intimé que le rapport d’expertise du CF.________ était insuffisant (compte tenu du manque d’investigations neurologiques notamment) pour statuer sur le droit aux prestations de la recourante, de sorte que ce document ne pouvait se voir accorder une pleine valeur probante. La Cour de céans estime que l’intimé a failli à son obligation d’élucider les faits à satisfaction. Il s’agit dès lors de lui renvoyer la cause pour complément d’instruction. Après actualisation des pièces médicales, il lui appartiendra de solliciter une expertise pluridisciplinaire psychiatrique, rhumatologique et neurologique de la recourante, l’expert psychiatre pouvant s’adjoindre les services d’un neuropsychologue s’il l’estime opportun. Une fois ce complément entrepris, il incombera à l’intimé de fixer le degré d’invalidité de la recourante sur la base de la méthode mixte d’évaluation de l’invalidité en procédant à une nouvelle enquête économique sur le ménage.</w:t>
      </w:r>
    </w:p>
    <w:p>
      <w:r>
        <w:rPr>
          <w:b/>
        </w:rPr>
        <w:t>E. 11</w:t>
      </w:r>
    </w:p>
    <w:p>
      <w:r>
        <w:t>TFJDA [tarif du 28 avril 2015 des frais judiciaires et des dépens en matière administrative ; BLV 173.36.5.1]), et de la mettre à charge de l’intimé. d) La recourante est au bénéfice de l’assistance judiciaire. Le montant des dépens arrêté ci-avant correspond au moins à ce qui aurait été alloué à titre d’indemnité pour le mandat d’office. Il n’y a donc pas lieu de fixer plus précisément cette indemnité (art. 2 al. 1 let. a et 3bis al. 1 et 2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