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ZD23.007623 vom 19. Juli 2024</w:t>
      </w:r>
    </w:p>
    <w:p>
      <w:r>
        <w:t>VD Tribunal cantonal, 2024-07-19, FR</w:t>
      </w:r>
    </w:p>
    <w:p>
      <w:r>
        <w:rPr>
          <w:b/>
        </w:rPr>
        <w:t xml:space="preserve">Quelle: </w:t>
      </w:r>
      <w:r>
        <w:t>https://mcp.opencaselaw.ch/entscheid/vd_gerichte_ZD23.007623</w:t>
      </w:r>
    </w:p>
    <w:p>
      <w:r>
        <w:t>FR: VD_GERICHTE ZD23.007623 du 19 juillet 2024</w:t>
      </w:r>
    </w:p>
    <w:p>
      <w:r>
        <w:t>IT: VD_GERICHTE ZD23.007623 del 19 luglio 2024</w:t>
      </w:r>
    </w:p>
    <w:p>
      <w:pPr>
        <w:pStyle w:val="Heading2"/>
      </w:pPr>
      <w:r>
        <w:t>Erwägungen</w:t>
      </w:r>
    </w:p>
    <w:p>
      <w:r>
        <w:rPr>
          <w:b/>
        </w:rPr>
        <w:t>E. 26</w:t>
      </w:r>
    </w:p>
    <w:p>
      <w:r>
        <w:t>octobre 2022 était adressée à cette occasion. Concernant l’absence de mesures de réadaptation, il était ressorti d’un réseau avec le psychiatre traitant du 1er février 2022 qu’une activité professionnelle supérieure à 40 % n’était pas indiquée et que la mise en œuvre de mesures professionnelles pourrait nuire à la stabilité acquise auprès de l’employeur actuel. L’OAI a ajouté qu’aucune violation du devoir de collaborer n’avait été retenue contre l’assurée qui ne s’était pas rendue à sa mesure pour des raisons médicales et qui avait renseigné l’OAI sur sa nouvelle activité avant la fin de l’instruction de sa demande. S’agissant de la détermination du statut, l’assurée avait complété le formulaire idoine. Le statut retenu était également compatible avec l’âge et l’autonomie des enfants de</w:t>
      </w:r>
    </w:p>
    <w:p>
      <w:r>
        <w:t>- 8 - l’intéressée. La position de l’OAI était donc maintenue et une décision serait prochainement rendue. Le 20 janvier 2023, l’OAI a rendu une décision confirmant son projet de décision et arrêté le montant de la demi-rente à verser dès le 1er février 2023 ainsi que celui des rentes pour enfant. La décision précisait qu’une décision portant sur le rétroactif serait prochainement rendue. Une copie de la décision a été adressée à T.________. B. Par acte du 20 février 2023, T.________, toujours représentée par son conseil, a interjeté un recours devant la Cour des assurances sociales du Tribunal cantonal contre cette décision, concluant principalement à sa réforme en ce sens que l’assurée soit déboutée dans sa demande de prestations, et subsidiairement à son annulation et au renvoi de la cause à l’intimé pour complément d’instruction sur la capacité résiduelle de travail de l’assurée et sur la mise en œuvre de mesures de réadaptation. Elle a soutenu que l’assurée ne présentait pas une incapacité de travail de 40 % durant un an permettant de lui reconnaître un droit à une rente à l’issue du délai d’attente, au vu des incapacités de travail attestées par son médecin et par l’expert ainsi que de son aptitude au placement reconnue par l’assurance-chômage. Le psychiatre traitant avait également attesté une capacité à 60 %, dans son rapport du 11 juillet 2019. En outre, c’était sans raison que l’OAI avait écarté les conclusions de l’expert Q.________, ce qui était d’autant plus surprenant que les rapports du Dr Z.________ n’étaient pas établis au moyen des indicateurs. Enfin, si une invalidité devait être reconnue, l’OAI devrait sérieusement analyser les mesures de réadaptation à mettre en œuvre avant d’envisager d’octroyer une rente, au vu notamment des diplômes et des expériences de l’assurée, celle-ci ne devant pas se limiter à un domaine d’intérêt. L’OAI aurait encore dû prendre en compte, dans sa décision, des manquements de l’assurée à son devoir de collaborer et de renseigner. La recourante a finalement requis, à titre de requête d’instruction, la production du dossier constitué par l’assurance-chômage.</w:t>
      </w:r>
    </w:p>
    <w:p>
      <w:r>
        <w:t>- 9 - Par réponse du 24 avril 2023, l’intimé a conclu au rejet du recours, renvoyant plus particulièrement à son courrier du 5 janvier 2023 à l’attention de l’institution de prévoyance. Dans une écriture du 8 mai 2023, la recourante a renoncé à déposer des explications complémentaires et a renvoyé à son recours. L’intervention de l’assurée en qualité de tiers intéressée à la procédure a été prononcée par ordonnance du 5 février 2024. Se déterminant le 22 avril 2023 sur les écritures des parties, K.________ a conclu au rejet du recours. Elle a détaillé les raisons pour lesquelles les conclusions du Dr Z.________ pouvaient être suivies et celles pour lesquelles le rapport d’expertise du Dr Q.________ ne pouvait être qualifié de probant. Elle a ajouté que la mise en place de mesures de réadaptation s’avérait inutile au vu de l’emploi à 40 % occupé, et aurait mis en danger la stabilité acquise dans cet emploi. Elle a enfin contesté avoir violé son devoir de collaborer. Le 6 mai 2024, la recourante a pris position sur les arguments de l’assurée. Le 29 mai 2024, K.________ a confirmé ses conclusions. Elle a relevé que, contrairement à ce que la recourante soutenait, le Dr Z.________ n’avait pas attesté une capacité de travail à 60 % dans son rapport du 11 juillet 2019, mais un pronostic positif sur la capacité de travail qui pourrait être de 60 % après une période d’évaluation, tout en confirmant que l’assurée demeurait totalement incapable de travailler depuis le 15 décembre 2018. Concernant sa prétendue violation du devoir de collaborer, elle a souligné que la mesure de coaching avait été abandonnée au motif qu’elle n’apporterait pas de plus-value (cf. entretien du 16 avril 2019).</w:t>
      </w:r>
    </w:p>
    <w:p>
      <w:r>
        <w:t>- 10 -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ainsi tenu de lui en communiquer un exemplaire ; cet autre assureur dispose des mêmes voies de droit que l’assuré (voir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144 V 29 consid. 3 ; 132 V 74 consid. 3.1). c)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w:t>
      </w:r>
    </w:p>
    <w:p>
      <w:r>
        <w:t>- 11 - 132 V 1 consid.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(ATF 143 V 434 consid. 2.2)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le cadre de la procédure de préavis (art. 57a al. 2 LAI) que pour former un recours contre une décision des organes de l’assurance-invalidité (art. 49 al. 4 et 59 LPGA) qui statue sur le droit à la rente ou fixe le degré d’invalidité de la personne assurée (ATF 133 V 67 consid. 4.3.2 ; 132 V 1 consid. 3.3.1).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 TF 9C_620/2012 du 16 octobre 2012 consid. 2.3). d) En l’occurrence, il y a lieu de reconnaître à T.________ la qualité pour recourir, dès lors que K.________ était valablement assurée auprès d’elle lors de la survenance de son incapacité de travail (art. 10 LPP), ainsi que dans la mesure où les constatations et appréciations de l’intimé sont en principe contraignantes à son égard s’agissant du droit à la rente. Pour le surplus, déposé en temps utile auprès du tribunal compétent (art. 93 let. a LPA-VD [loi cantonale vaudoise du 28 octobre 2008 sur la procédure administrative ; BLV 173.36]) et respectant les</w:t>
      </w:r>
    </w:p>
    <w:p>
      <w:r>
        <w:t>- 12 - autres conditions formelles prévues par la loi (art. 61 let. b LPGA notamment), le recours est recevable.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Toutefois, même si la personne assurée ne recourt que contre la première décision, le juge peut revoir le bien-fondé de la seconde décision relative à l’allocation de prestations pour une période antérieure. b) T.________ a recouru contre la décision du 20 janvier 2023 qui fixait le montant de la demi-rente d’invalidité en faveur de K.________ à partir du 1er février 2023. L’OAI a toutefois précisé qu’une décision serait rendue s’agissant du rétroactif. Il y a donc lieu de considérer que le</w:t>
      </w:r>
    </w:p>
    <w:p>
      <w:r>
        <w:t>- 13 - recours du 20 février 2023 porte sur l’entier du droit de l’assurée à une rente de l’assurance-invalidité. c)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En l’occurrence, compte tenu de la naissance du droit à une rente au 1er juillet 2019, l’ancien droit est applicable.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w:t>
      </w:r>
    </w:p>
    <w:p>
      <w:r>
        <w:rPr>
          <w:b/>
        </w:rPr>
        <w:t>E. 31</w:t>
      </w:r>
    </w:p>
    <w:p>
      <w:r>
        <w:t>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- 14 -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4.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w:t>
      </w:r>
    </w:p>
    <w:p>
      <w:r>
        <w:t>- 15 -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La recourante conteste l’appréciation de la capacité de travail qu’a faite l’OAI et soutient qu’il y a lieu de tenir compte, d’une part, du fait que l’assurée était au chômage et reconnue apte au placement à 50 % au moins et, d’autre part, des conclusions du Dr Q.________ reconnaissant l’assurée totalement capable de travailler à partir du 1er octobre 2019. Dès lors, l’assurée n’a pas présenté une incapacité de travail d’au moins 40 %</w:t>
      </w:r>
    </w:p>
    <w:p>
      <w:r>
        <w:t>- 16 - durant une année. La recourante a également mis en doute la valeur probante des rapports du psychiatre traitant et estimé que l’assurée disposait d’une capacité de travail dans son activité habituelle. A titre subsidiaire, elle a reproché à l’OAI de ne pas avoir mis en place des mesures de réadaptation et de ne pas avoir tenu compte d’une violation de l’obligation de collaborer, l’assurée ayant commis plusieurs manquements. L’assurée se rallie pour sa part à l’appréciation de l’intimé qui s’est fondé sur l’avis du psychiatre traitant. a) Il y a lieu d’examiner dans un premier temps les éléments médicaux que l’OAI avait à sa disposition pour fonder sa décision. L’intimé a écarté les conclusions du Dr Q.________, l’expert mandaté par l’assureur perte de gain maladie. Ce rapport d’expertise ne peut en effet pas se voir conférer une valeur probante suffisante compte tenu de ses lacunes et de ses contradictions, comme l’a constaté le SMR dans son avis du 26 octobre 2022. L’expert Q.________ a retenu que l’assurée était capable de maintenir un bon rythme journalier (expertise p. 12), alors que cela ne ressort pas de la description qu’a faite l’assurée d’une journée type (expertise p. 6). L’expert n’a pris connaissance que des attestations d’incapacité de travail établies par le psychiatre traitant, mais elles ne comportaient aucun diagnostic ni aucune information sur la symptomatologie (expertise p. 2). L’anamnèse médicale ne saurait donc être considérée comme exhaustive. L’expert ne pouvait pas non plus valablement se prononcer sur la capacité de travail antérieure à son examen. L’expert a encore retenu, d’une part, qu’il n’y avait du point de vue psychiatrique aucune limitation spécifique chez l’assurée, mais a considéré, d’autre part, qu’elle était incapable de travailler à 50 %, ce qui est contradictoire (expertise p. 14). Il a également estimé que le pronostic restait plutôt incertain et sombre, même à moyen et long terme, tout en considérant qu’une reprise du travail était possible (expertise p. 12). L’expert n’a finalement pas évalué la capacité de travail en ayant recours</w:t>
      </w:r>
    </w:p>
    <w:p>
      <w:r>
        <w:t>- 17 - aux indicateurs, mais en retenant que l’assurée devait mobiliser « toute sa bonne volonté » et définir des priorités. Même si c’est à bon droit que l’OAI a écarté les conclusions de l’expert Q.________, il ne pouvait toutefois pas suivre l’avis du psychiatre traitant. Les rapports du Dr Z.________ ne contiennent en effet pas non plus d’évaluation de la situation à l’aune des indicateurs. Ils ne fournissent pas non plus les éléments suffisants pour procéder à une évaluation selon ceux-ci. Ils ne permettent en outre pas de vérifier si les diagnostics posés par le psychiatre traitant l’ont été dans le respect des règles de l’art, comme le requiert la jurisprudence. Plus particulièrement, dans son rapport du 11 juillet 2019, le Dr Z.________ n’étaye pas ses diagnostics et répond de manière sommaire aux questions que l’OAI lui a posées. Ce rapport ne saurait être considéré comme probant. Dans son rapport du 19 juillet 2020, si le Dr Z.________ détaille l’évolution de la capacité de travail de l’assurée, celle-ci ne peut être qualifiée de claire. Le médecin retient en effet que l’assurée est totalement incapable de travailler dans son activité habituelle depuis le mois de janvier 2019 et qu’elle est capable de travailler à 40 % dans une activité adaptée dès le mois de juillet 2020. Il indique toutefois qu’il y a une incapacité de travail de 60 % depuis le mois de mars 2017 et atteste donc qu’il existe une capacité de travail bien avant celle qu’il a évoquée précédemment, sans préciser si elle concerne l’activité habituelle ou une activité adaptée. Le Dr Z.________ n’objective toujours pas médicalement les diagnostics qu’il retient. Ses rapports ne peuvent être suivis, en l’absence d’appréciation médicale circonstanciée de la situation. b) Dans ces circonstances, l’OAI ne pouvait rendre sa décision sans instruire davantage la situation. On précisera, à toutes fins utiles, que l’intimé a répondu à satisfaction aux griefs de la recourante relatifs aux manquements de l’assurée et l'on ne peut qu'y renvoyer, étant au surplus relevé qu'un éventuel manquement à l’obligation de collaborer ne suffit pas en soi à nier toute prestation mais conduirait l’OAI à statuer en l’état du dossier (art. 43 al. 3 LPGA).</w:t>
      </w:r>
    </w:p>
    <w:p>
      <w:r>
        <w:t>- 18 - c) Il apparait ainsi que l’instruction est lacunaire et qu’une expertise psychiatrique est indispensable pour poser des diagnostics dûment étayés, départager les avis médicaux au dossier, procéder à une évaluation conforme à la jurisprudence de la capacité de travail dans l’activité habituelle et dans une activité adaptée ainsi que leur évolution dans le temps. En fonction des conclusions de l’expertise, il y aura peut- être lieu d’examiner à nouveau la question d’éventuelles mesures de réadaptation. La cause devra ainsi être renvoyée à l’intimé à qui il appartient en premier lieu d’instruire, conformément au principe inquisitoire qui régit la procédure dans le domaine des assurances sociales (art. 43 al. 1 LPGA). d) Vu le sort du recours, la réquisition tendant à la production du dossier constitué par l’assurance-chômage est rejetée. 7. a) En conclusion, le recours doit être admis et la décision entreprise annulée, la cause étant renvoyée à l’intimé pour complément d’instruction au sens des considérants et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La recourante est une institution chargée de tâches de droit public et ne peut donc pas prétendre à l’allocation de dépens (ATF 126 V 143 consid. 4a). L’assurée voit pour sa part ses conclusions rejetées, de sorte qu’elle n’a pas davantage droit à l’octroi de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