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ZD23.007353 vom 2. Februar 2024</w:t>
      </w:r>
    </w:p>
    <w:p>
      <w:r>
        <w:t>VD Tribunal cantonal, 2024-02-02, FR</w:t>
      </w:r>
    </w:p>
    <w:p>
      <w:r>
        <w:rPr>
          <w:b/>
        </w:rPr>
        <w:t xml:space="preserve">Quelle: </w:t>
      </w:r>
      <w:r>
        <w:t>https://mcp.opencaselaw.ch/entscheid/vd_gerichte_ZD23.007353</w:t>
      </w:r>
    </w:p>
    <w:p>
      <w:r>
        <w:t>FR: VD_GERICHTE ZD23.007353 du 2 février 2024</w:t>
      </w:r>
    </w:p>
    <w:p>
      <w:r>
        <w:t>IT: VD_GERICHTE ZD23.007353 del 2 febbraio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t>- 18 - d)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- 19 - g)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h)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TF 9C_748/2013 du 10 février 2014 consid. 4.1.1). Cela vaut également lorsqu’un ou plusieurs médecins ont émis une opinion divergente de celle de l’expert (TF 9C_268/2011 du 26 juillet 2011 consid. 6.1.2 et les références).</w:t>
      </w:r>
    </w:p>
    <w:p>
      <w:r>
        <w:rPr>
          <w:b/>
        </w:rPr>
        <w:t>E. 5</w:t>
      </w:r>
    </w:p>
    <w:p>
      <w:r>
        <w:t>a) L’autorité intimée a alloué une rente entière limitée dans le temps du 1er mars 2018 au 31 décembre 2019, au motif qu’après avoir</w:t>
      </w:r>
    </w:p>
    <w:p>
      <w:r>
        <w:t>- 20 - présenté une incapacité de travail totale dans l’activité habituelle d’aide- électricien et dans toute activité adaptée à compter de l’accident du 25 novembre 2016, le recourant avait retrouvé une capacité de travail de 100 % depuis le 3 septembre 2019 dans une activité adaptée aux limitations fonctionnelles, excluant le maintien du droit à la rente au-delà de trois mois après l’amélioration déterminante de la capacité de gain (art. 88a al. 1 RAI). Cette décision se base principalement sur les conclusions du rapport du 7 septembre 2022 du R.________. De son côté, le recourant conteste avoir retrouvé une capacité de travail dans une activité adaptée jusqu’en juin 2022 au moins, prétendant au versement d’une rente entière d’invalidité au-delà du 31 décembre 2019. b) L’expertise pluridisciplinaire (de médecine interne générale, psychiatrie et orthopédie) a retenu des diagnostics incapacitants de status après fracture-luxation de la cheville droite au 25 novembre 2016 (avec ostéosynthèse en urgence de manière non anatomique au niveau de la malléole interne, arthrose secondaire, lésion iatrogène sensitive du nerf péronier superficiel qui provoque des paresthésies persistantes et status après AMO le 8 mars 2018) et de troubles de l’équilibre, justifiant des limitations fonctionnelles (Du point de vue orthopédique : activité essentiellement assise, pas de charge dépassant 10 à 15 kg de manière itérative, pas d’échelle, pas d’échafaudage, pas d’accroupissement, pas de marche prolongée surtout en terrain inégal, pas d’escaliers et d’échelles répétés, pas de port de chaussures rigides à coques talonnières et pas de pince entre le 1er et le 3ème doigt. Du point de vue de la médecine interne : concernant les troubles d’équilibre, pas de travaux en hauteur, sur les échafaudages, dans les escaliers, des échelles). Les diagnostics sans incidence sur la capacité de travail sont un autre trouble de l’humeur persistant (F34.8), un status après fracture sans déplacement du troisième doigt de la main droite, avec des troubles neurologiques peu clairs, un probable Morton quatrième et cinquième du pied droit, des pieds plats, une obésité morbide avec IMC de 42.29 kg/m2, un syndrome d’apnée du sommeil, appareillé par CPAP, un trouble de l’hygiène du</w:t>
      </w:r>
    </w:p>
    <w:p>
      <w:r>
        <w:t>- 21 - sommeil et une dermite chronique des membres inférieurs. Compte tenu des atteintes à la santé physique, les experts ont unanimement estimé la capacité de travail de l’assuré comme nulle dans l’activité habituelle depuis le 25 novembre 2016 et entière dans une activité adaptée dès le 3 septembre 2019. Les experts du R.________ ont justifié leurs diagnostics et l’évaluation de la répercussion des atteintes sur la capacité de travail ainsi (expertise, appréciation générale interdisciplinaire, pp. 6 – 7) : “Du point de vue psychiatrique, l’examen clinique ne retrouve pas de tristesse, pas de crise de larmes, pas de ralentissement psychomoteur, pas de trouble de l’attention ou de la concentration. Le récit de vie est rapporté de manière chronologique, structuré et sans difficulté. Il n’y a pas de trouble objectif de la mémoire constaté et pas de symptôme neurovégétatif en faveur d’un état anxieux. Il n’est pas constaté de plainte algique, de fatigabilité, ni d’expression corporelle en faveur de douleurs lors de l’entretien. Les dosages sanguins confirment la non-prise des traitements les jours ayant précédé l’expertise. Au total, il est retrouvé des plaintes thymiques et des plaintes par rapport à la survenue de troubles anxieux réactionnels, soit l’état de santé physique de la personne assurée, ses douleurs ou à la survenue d’événements négatifs ou stressants. Il n’est pas retrouvé de tristesse pathologique, de ralentissement psychomoteur, d’anhédonie, la personne assurée étant curieuse et prenant du plaisir à de nombreuses activités distractives, de hobbies et de recherches sur Internet. Elle écoute de la musique. Il s’agit de troubles de l’humeur dont la sévérité ou la durée n’est pas suffisante pour poser un diagnostic de dysthymie ou d’épisode dépressif léger. Ces troubles n’ont aucun impact sur le fonctionnement quotidien de la personne assurée sur le maintien d’activités de distraction et de loisirs plaisantes, ni sur la capacité de travail. Le diagnostic F34.8 d’autres troubles de l’humeur persistants est retenu et correspond aux données de l’anamnèse, aux données de l’examen clinique et à la description de la journée type. La personne assurée n’exprime aucune détresse quand elle évoque ces douleurs qu’elle décrit comme variables et dépendant de certaines positions et de certaines activités. Il n’est pas retrouvé de contexte de conflit émotionnel ou de problèmes psychosociaux suffisamment importants pour être considérés comme la cause essentielle du trouble. La personne assurée ne voit plus son psychiatre depuis plusieurs mois, rencontre son généraliste tous les 2 à 3 mois et n’a aucun autre suivi régulier. Elle ne bénéficie donc pas de la sollicitude accrue de la part de ses médecins ou de son entourage. Les critères de diagnostic d’un syndrome douloureux somatoforme persistant ne sont donc pas réunis. Aucune pathologie psychiatrique incapacitante n’a pu être mise en évidence.</w:t>
      </w:r>
    </w:p>
    <w:p>
      <w:r>
        <w:t>- 22 - Du point de vue orthopédique, le problème principal se situe au niveau de la cheville droite suite à un accident le 25.11.2016, où après une réduction insatisfaisante lors de l’intervention du 25.11.2016, a provoqué secondairement une arthrose de la cheville. Il existe un risque d’arthrose plus important dans l’avenir, qui pourrait nécessiter une arthrodèse ou la mise en place d’une prothèse de la cheville. De plus, du côté externe, une lésion iatrogène senstive du nerf peronier superficiel provoque des paresthésies persistantes au niveau du pied droit. Cette atteinte limite le profil d’effort et la capacité de travail dans l’activité habituelle. Au niveau de la main droite, il y a des plaintes non étayées par des examens complémentaires, avec une mobilité attestée qui est physiologique, avec peut-être une force diminuée au niveau de la pince pouce-3ème doigt. Cependant, ce test est un peu trop subjectif pour être très loin interprété. Cette atteinte n’est pas incapacitante ainsi comme probable Morton 4ème et 5ème du pied droit, pieds plats et l’obésité et un déconditionnement physique. Du point de vue de la médecine interne, la personne assurée se plaint de troubles de mémoire et de concentration, sans substrat organique qui n’est pas incapacitante. En plus, elle mentionne une dermite chronique des pieds et des plis cutanés qui est retrouvé lors de l’examen, mais qui ne limite ni le profil d’effort ni la capacité de travail. Elle se plaint de fatigue chronique en lien avec son syndrome d’apnée du sommeil, appareillé par CPAP. Selon l’examen de ce jour, il n’est pas constaté de fatigue évidente. Une meilleure hygiène du sommeil améliore l’état de fatigue dont la personne assurée se plaint (cf. rapport du Dr [...] du 20.10.2021). Avec un suivi régulier en pneumologie et une bonne hygiène du sommeil, le diagnostic n’est pas incapacitant. La personne assurée présente actuellement un indice de masse corporelle mesurée à 42.29 kg/m2 (obésité morbide). Cette situation peut expliquer les troubles de l’équilibre qui limitent le profil d’effort. Cette obésité présente un risque de complications métaboliques, cardiovasculaires, neurologiques et pneumologiques bien connues.” aa) Sur le plan de la médecine interne générale (expertise, volet de médecine interne, p. 22 s.), l’expert Q.________ a retenu le diagnostic incapacitant de troubles de l’équilibre. Son appréciation est motivée et tient compte des plaintes et des éléments médicaux objectifs. Elle peut se voir reconnaître une pleine valeur probante. Le recourant reproche à cet expert d’avoir considéré que la perte de poids était susceptible d’améliorer son équilibre dans un délai d’une année et de ne pas avoir pris en compte son obésité morbide qui, en</w:t>
      </w:r>
    </w:p>
    <w:p>
      <w:r>
        <w:t>- 23 - l’absence de suivi médical, ne va pas s’améliorer. Il invoque que l’incapacité de travail n’a pas cessé en décembre 2019 mais qu’elle a perduré au moins jusqu’en juin 2022. Si l’expert en médecine interne a indiqué que la perte de poids était souhaitable pour recouvrer une capacité de travail dans l’activité usuelle, il n’est pas requis du recourant qu’il soigne son obésité seul sans soutien médical mais un tel soin reste néanmoins exigible de sa part. Du reste, s’il évoque la nécessité d’une prise en charge multidisciplinaire pour ce faire, le recourant ne fait aucune mention de l’échec d’une prise en charge de cette atteinte à la santé. Quoi qu’il en soit, les experts retiennent des restrictions fonctionnelles en fonction des troubles de l’équilibre liés à l’obésité morbide limitant le profil d’effort. Ces troubles ont été retenus comme diagnostic ayant une incidence sur la capacité de travail, l’obésité étant admise comme un diagnostic non incapacitant. Les restrictions relatives aux troubles de l’équilibre à savoir « pas de travaux en hauteur, sur des échafaudages, dans les escaliers, des échelles » sont admises quand bien même les experts déclarent qu’elles pourraient disparaître si le recourant perdait du poids, en indiquant qu’une capacité de travail dans l’activité habituelle pourrait être retrouvée après un an en cas de perte de poids. L’OAI n’a pas limité dans le temps la prise en compte de ces restrictions fonctionnelles et a maintenu l’existence d’une incapacité de travail dans l’activité habituelle d’aide-électricien, de sorte que les griefs du recourant sur ce point ne paraissent pas pertinents. bb) Sur le plan orthopédique (expertise, volet orthopédique, p. 57 s.) l’expert H.________ a retenu le diagnostic incapacitant de status après fracture-luxation de la cheville droite du 25 novembre 2016, avec ostéosynthèse en urgence de manière non anatomique au niveau de la malléole interne, arthrose secondaire, lésion iatrogène sensitive du nerf péronier superficiel qui provoque des paresthésies persistantes et status après AMO le 8 mars 2018.</w:t>
      </w:r>
    </w:p>
    <w:p>
      <w:r>
        <w:t>- 24 - A l’examen clinique, l’expert décrit un status peu pathologique en termes de mobilité passive. Il constate que malgré deux séjours à la CRR et l’ablation du matériel d’ostéosynthèse, il n’y a pas d’amélioration et que l’apparition du déconditionnement provoque secondairement une importante prise de poids. Il observe que sur le plan orthopédique, l’assuré est limité en raison de sa cheville droite, sans autre traitement à proposer. Indiquant que le déficit est léger en respectant le profil d’effort, l’expert est d’avis que depuis sa sortie de la CRR le 3 septembre 2019, le recourant dispose d’une capacité de travail de 100 % dans toute activité adaptée, et cela sans qu’une option thérapeutique ne puisse améliorer la capacité de travail dans l’activité habituelle qui est nulle depuis l’accident du 25 novembre 2016. Dans leur rapport du 17 mars 2022 les médecins de l’Hôpital orthopédique du CHUV ont recommandé d’orienter le recourant vers une activité professionnelle adaptée à ses capacités, ce qui va donc dans le même sens que les conclusions des experts. Concernant les plaintes rapportées au niveau de la main droite (diminution de sensibilité au niveau cutané de l’IPP du troisième doigt et des fourmillements irradiant dans le doigt depuis le tiers distal de la main au niveau dorsal), elles ne sont pas étayées par des examens complémentaires, avec une mobilité attestée qui est physiologique ainsi qu’une éventuelle force diminuée au niveau de la pince pouce-troisième doigt, ce test étant toutefois un peu trop subjectif pour être très bien interprété. Cette atteinte, comme un probable Morton des quatrième et cinquième du pied droit, des pieds plats et l’obésité, n’est pas incapacitante selon l’expert. Des limitations fonctionnelles liées à cette affection à la main sont néanmoins retenues par l’OAI (« pas de pince entre le 1er et le 3ème doigt »). L’appréciation de l’expert orthopédiste repose ainsi sur des constatations objectives, après examen des plaintes et des pièces médicales. Aucun élément ne vient jeter le doute sur sa valeur probante.</w:t>
      </w:r>
    </w:p>
    <w:p>
      <w:r>
        <w:t>- 25 - cc) Au niveau psychiatrique (rapport d’expertise, volet psychiatrique, p. 38 s.), l’expert A.__________ n’a mis en évidence aucun diagnostic incapacitant. Il convient de s’assurer que l’expert psychiatre a dégagé une appréciation concluante de la capacité de travail du recourant à la lumière des indicateurs déterminants selon la jurisprudence en matière de troubles psychiques. Tout d’abord, il y a lieu de relever que l’expert psychiatre a étayé son diagnostic sur la base de ses propres constatations cliniques et discuté les diagnostics différentiels du psychiatre traitant. Concernant le degré de gravité fonctionnel du trouble, l’expert psychiatre n’a pas constaté de manifestations concrètes de l’atteinte à la santé sur les activités de l’assuré, lequel ne lui a pas rapporté de limitations significatives en dehors de plaintes subjectives et de difficultés à retenir les choses. Ce dernier passe le plus clair de son temps à apprendre à se découvrir de nouveaux hobbies, à stocker des informations pour son association, à lire, sans montrer aucune difficulté lors de l’anamnèse ou dans la narration de son vécu. Il se rappelle précisément la date de son arrivée en Suisse, les durées et les périodes de ses différentes activités professionnelles et la durée précise de son dernier emploi comme électricien en bâtiment. S’agissant du traitement ou de la résistance au traitement, l’expert psychiatre a constaté l’absence de suivi et de prise de traitement médicamenteux mentionnés par le psychiatre traitant dans son dernier rapport en décembre 2021. Pour l’examen des ressources personnelles à disposition du recourant, il n’a été relevé aucun problème pour l’adaptation aux règles et aux routines, la planification et structuration des tâches, la flexibilité et les capacités d’adaptation, l’usage des compétences spécifiques, les capacités de jugement, de prise de position, et d’endurance, les aptitudes</w:t>
      </w:r>
    </w:p>
    <w:p>
      <w:r>
        <w:t>- 26 - à s’affirmer, établir des relations avec les autres, à évoluer au sein d’un groupe, à entretenir des relations proches et à des activités spontanées, l’hygiène et les soins corporels, et l’aptitude à se déplacer. Pour ce qui concerne le contexte social, l’expert a retenu qu’à côté de son médecin généraliste, l’assuré entretenait des contacts par Internet avec une amie qui est en Espagne depuis quatre ans et avec qui il aimerait bien se projeter. Il est également en contact avec quelques autres amis en Espagne. S’agissant de la cohérence, l’expert a uniquement relevé des divergences entre les plaintes concernant les troubles de la mémoire et le comportement du recourant en situation d’examen où il avait pu rapporter de manière précise, chronologique et structurée son histoire de vie et les différents événements importants de sa vie personnelle et professionnelle. A l’aune de l’analyse de ces critères, étant rappelé qu’il s’agit selon la jurisprudence d’évaluer les capacités fonctionnelles de la personne assurée à la lumière des indicateurs pertinents, dans une analyse axée sur les ressources et les déficits fonctionnels découlant d’une atteinte à la santé, la capacité de travail du recourant a été appréciée par l’expert psychiatre de manière conforme aux exigences jurisprudentielles (cf. consid. 4e supra). Pour le reste, le psychiatre traitant (le Dr G.________) a posé les diagnostics incapacitants de mauvais état de santé physique et psychique « après son accident qui n’a pas été pris en charge correctement selon le patient », de trouble dépressif récurrent, épisode actuel sévère sans symptômes psychotiques (F33.2) et de difficultés liées au logement et aux conditions économiques (Z59). Le recourant relève plusieurs éléments contradictoires entre les constats du psychiatre traitant et l’expert et requiert une interpellation du Dr G.________ sur les motifs de l’interruption du suivi instauré en avril 2021 et l’absence de prise de médicaments dès le début du traitement.</w:t>
      </w:r>
    </w:p>
    <w:p>
      <w:r>
        <w:t>- 27 - Lors des séjours à la CRR en 2017 et 2019, il n’a pas été retenu de psychopathologie. De son côté, le psychiatre traitant n’a, dans un premier temps, pas étayé ses diagnostics et n’a pas évalué la capacité de travail de son patient en fonction des indicateurs pertinents selon la jurisprudence (cf. avis SMR des 31 mai et 12 août 2021). Finalement, le Dr G.________ a déposé un rapport du 14 décembre 2021 qui a été analysé par le SMR qui ne l’a pas jugé suffisamment contributif ni compatible avec le comportement de l’assuré et l’évaluation de la CRR, ce qui a conduit l’OAI à réaliser une expertise pluridisciplinaire. L’expert psychiatre retient le diagnostic non incapacitant d’autres troubles de l’humeur persistant. Il a étayé son diagnostic, exposé les motifs le conduisant à s’écarter des diagnostics différentiels du psychiatre traitant, constaté qu’il n’y avait plus de suivi psychiatrique depuis plusieurs mois. Sur la base de son analyse axée sur les ressources et les déficits fonctionnels découlant d’une atteinte à la santé, il a apprécié la capacité de travail du recourant lege artis. Le recourant voit une contradiction entre les volets psychiatrique, qui retient une présentation et une tenue sans particularité, et orthopédique de l’expertise, où il est relevé que « la personne assurée est dans un très mauvais état d’hygiène ». Puis, dans son rapport du 9 juillet 2021, le Dr G.________ a indiqué que lors de la première séance le recourant s’est présenté négligé et sale au centre de consultation [...] ([...]). Le fait que l’expert psychiatre a relevé une présentation et une tenue sans particularité n’est pas un élément contradictoire avec la constatation du psychiatre traitant, cette dernière ne concernant que l’état lors de la première consultation. Le fait que l’expert orthopédiste a remarqué le mauvais état d’hygiène semble confirmer que le recourant ne se présente pas toujours dans un état impeccable. On ne saurait toutefois rien en tirer comme argument sur l’évaluation médicale. Le dernier rapport du psychiatre traitant de décembre 2021 confirmant la persistance d’un épisode dépressif dans sa phase aiguë justifiant d’une incapacité de travail de son patient dans toute activité,</w:t>
      </w:r>
    </w:p>
    <w:p>
      <w:r>
        <w:t>- 28 - avec un pronostic réservé, est antérieur à l’expertise du R.________ et il est analysé par l’expert psychiatre ; il ne permet pas de mettre en doute les conclusions de celui-ci. De manière plus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En définitive, le volet psychiatrique peut se voir reconnaître toute valeur probante. c) Les experts retiennent le 3 septembre 2019 comme date de la fin de l’incapacité de travail du recourant dans une activité adaptée (expertise, appréciation générale interdisciplinaire, p. 9). L’OAI fait partir les effets de l’amélioration de la capacité de travail trois mois plus tard (cf. art. 88a al. 1 RAI), ce qui porte le début de la capacité de travail entière dans une activité adaptée à décembre 2019. La date de juin 2022 correspond à l’apparition des limitations fonctionnelles dues aux troubles de l’équilibre qui se sont ajoutés sans toutefois que la capacité de travail dans une activité adaptée n’ait diminué ; en effet, selon les explications de l’expert de la médecine interne, ces restrictions fonctionnelles supplémentaires (pour rappel : « pas de travaux en hauteur, sur les échafaudages, dans les escaliers, des échelles ») ont uniquement des répercussions sur la capacité de travail du recourant dans l’activité habituelle d’aide-électricien sur les chantiers (expertise, volet de médecine interne, pp. 24 – 26). d) Le recourant fait valoir qu’il a suivi, du 20 octobre au 2 décembre 2021, une mesure PET Transition-Emploi comme opérateur de production à mi-temps au sein du secteur recyclage d’appareils électroniques de la Fondation B.________, organisé par l’ORP qui a dû être interrompu en raison des douleurs importantes. Il reproche à l’OAI de ne pas avoir requis suffisamment de renseignements sur les motifs ayant conduit à l’interruption de ce stage auprès des professionnels qui l’ont suivi durant la mesure, étant d’avis que leur position doit être soumise aux</w:t>
      </w:r>
    </w:p>
    <w:p>
      <w:r>
        <w:t>- 29 - experts. Ce faisant, il rediscute la capacité de travail dans une activité adaptée retenue par les experts. aa) Il convient de rappeler que la capacité de travail est une question qui doit être évaluée en premier lieu par un médecin (ATF 140 V 193 consid. 3.2). Le rôle du médecin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(TF 8C_96/2021 du 27 mai 2021 consid. 4.3.1). En outre, les données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9C_605/2020 du 19 juillet 2021 consid. 5.4 ; TF 8C_713/2019 du 12 août 2020 consid. 5.2). bb) En l’espèce, les experts du R.________ ont eu connaissance de l’expérience vécue par le recourant lors du stage dont il est question, élément qui n’a toutefois pas modifié leur appréciation de la capacité de travail. De l’avis des experts, si l’activité proposée respectait les limitations fonctionnelles retenues, la capacité de travail aurait dû être entière. Dans ce contexte, il convient de noter que la Cour de céans (CASSO AA 122/20 – 32/2022 du 15 mars 2022), puis le Tribunal fédéral (TF 8C_280/2022 du 1er mars 2023), se sont d’ores et déjà prononcés sur la différence entre les limitations fonctionnelles déterminées par le médecin-conseil (le Dr T.________) du service vaudois de l’emploi (SDE) dans son rapport du 7 octobre 2021 et les restrictions constatées par les médecins de la CRR. A cet égard, la Haute Cour relève que l’instance cantonale a retenu à juste titre que la différence entre les limitations</w:t>
      </w:r>
    </w:p>
    <w:p>
      <w:r>
        <w:t>- 30 - fonctionnelles constatées par les médecins de la CRR et celles notées par le médecin-conseil du SDE (pour rappel : travail en position assise, pas de position statique debout, périmètre de marche avec charge de cinq kilos de quelques mètres, avec un kilo environ une vingtaine de mètres et pas d’escalier) n’était pas importante, dès lors que seul le port de charges se trouvait diminué et que des activités simples et répétitives adaptées à ce nouveau seuil de charge demeuraient possibles (TF 8C_280/2022 du 1er mars 2023 consid. 5). Un raisonnement identique prévaut en comparaison avec les restrictions fonctionnelles retenues par les experts du R.________ (Du point de vue orthopédique : activité essentiellement assise, pas de charge dépassant 10 à 15 kg de manière itérative, pas d’échelle, pas d’échafaudage, pas d’accroupissement, pas de marche prolongée surtout en terrain inégal, pas d’escaliers et d’échelles répétés, pas de port de chaussures rigides à coques talonnières et pas de pince entre le 1er et le 3ème doigt. Du point de vue de la médecine interne : concernant les troubles d’équilibre, pas de travaux en hauteur, sur les échafaudages, dans les escaliers, des échelles) qui laissent la possibilité au recourant de mettre sa capacité de travail résiduelle en valeur dans un travail simple et répétitif dans le domaine industriel léger. C’est en outre le lieu de relever que dans leur rapport de sortie du 20 septembre 2017 les médecins de la CRR ont observé que la participation de l’assuré aux thérapies a été considérée comme faible avec quelques absences non justifiées. L’intéressé a été à un tel point fixé sur la douleur qu’un programme de rééducation a été difficile à mettre en place. Il est retenu principalement des autolimitations multiples et certaines incohérences à la marche avec les cannes dépendant de si le patient se sent examiné. Une évaluation des capacités fonctionnelles a été réalisée pendant le séjour. Au début, l’assuré présentait un PACT à 96, ce qui correspond à une activité exigeant un effort inférieur à sédentaire. Le niveau d’effort fourni lors des tests a été considéré moyen (15 – 25 kilos). Au vu du résultat, le sujet sous-estimait considérablement ses aptitudes fonctionnelles. Selon les médecins de la CRR, les facteurs non médicaux pourraient jouer un rôle important dans la reprise d’une quelconque activité. Ils ont conclu qu’au vu des nombreuses autolimitations, ils ne pouvaient que se baser sur les données objectives à disposition pour fixer</w:t>
      </w:r>
    </w:p>
    <w:p>
      <w:r>
        <w:t>- 31 - les limitations fonctionnelles définitives. Dans ces conditions, on ne saurait se fier aux seules capacités limitatives que le recourant pense présenter et qu’il démontre dans le cadre d’une activité. A cela s’ajoute que le conseiller ORP a mentionné des difficultés de communication avec le recourant qui ne faisait aucune recherche et était donc sans arrêt pénalisé et dont il n’avait même pas le dossier de candidature ; l’intéressé considérait qu’il n’était pas apte à travailler en raison de ses douleurs et de son suivi d’une psychothérapie. Ensuite le recourant a d’abord fait preuve de bonnes compétences dans l’emploi test à mi-temps au sein du secteur recyclage d’appareils électroniques de la Fondation B.________, stage finalement écourté. Le rapport final du 14 décembre 2021 adressé au Service de l’emploi par la Fondation B.________, produit seulement au stade de la présente procédure de recours, indique cependant que « son état de santé semblerait s’être détérioré au cours de la mesure et ce dernier nous a finalement présenté un certificat médical attestant une incapacité de travail à 75% ». Or les experts du R.________ ont été interrogés sur la capacité de travail compte tenu de l’interruption du stage organisé par l'ORP qui s'est déroulé pendant un mois et demi à seulement 50% et a dû être interrompu de manière anticipée à cause de l'état de santé de l’assuré (expertise, appréciation générale interdisciplinaire, p. 4). Les experts y ont répondu après avoir pris connaissance des pièces au dossier et entendu le recourant sur cette question. Il en ressort que ce dernier a arrêté le stage en raison de l’aggravation des douleurs. Ils ont relevé qu’il s’agissait de signes subjectifs. La description de l’activité n’était par ailleurs pas très précise : la personne assurée a déclaré que l’utilisation de la force entre les deux mains avait provoqué l’interruption du travail. Les experts ont examiné les tâches effectuées (démonter et traiter des appareils électroniques, trier des composants, extraire et séparer des métaux tels que cuivre, laiton, aluminium, travailler selon un guide des fractions, en respectant les prescriptions officielles, maintenir sa place de travail en ordre et appliquer les règles essentielles de sécurité), discuté des limitations fonctionnelles constatées au vu du profil d'effort et ont</w:t>
      </w:r>
    </w:p>
    <w:p>
      <w:r>
        <w:t>- 32 - maintenu l’existence d’une capacité de travail entière dans une activité adaptée aux restrictions retenues, non sans émettre le soupçon que l’activité proposée ne respectait peut-être pas toutes les limitations fonctionnelles (expertise, appréciation générale interdisciplinaire, p. 11). Il résulte de ce qui précède que les moyens du recourant relatifs à l’évaluation de sa capacité de travail doivent être rejetés.</w:t>
      </w:r>
    </w:p>
    <w:p>
      <w:r>
        <w:rPr>
          <w:b/>
        </w:rPr>
        <w:t>E. 6</w:t>
      </w:r>
    </w:p>
    <w:p>
      <w:r>
        <w:t>Cela étant, il s’agit de déterminer le degré d’invalidité du recourant. a) L’art. 16 LPGA s’applique à l’évaluation de l’invalidité des assurés exerçant une activité lucrative (art. 28a al. 1 LAI [dans sa teneur en vigueur au 31 décembre 2021]).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w:t>
      </w:r>
    </w:p>
    <w:p>
      <w:r>
        <w:t>- 33 -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aa) En l’occurrence, l’office intimé a comparé un revenu sans invalidité de 62'037 fr. 61 avec un revenu d’invalide de 64'957 fr. 74 fondé sur les données statistiques résultant de l’ESS (montant qui intégrait un abattement de 5 % en raison des limitations fonctionnelles [main] restreignant les perspectives salariales du recourant) pour aboutir à un degré d’invalidité de 0 %.</w:t>
      </w:r>
    </w:p>
    <w:p>
      <w:r>
        <w:t>- 34 - Le recourant doute du bien-fondé des deux revenus pris en compte pour la comparaison des revenus effectuée par l’office intimé. Il évalue pour sa part le revenu sans invalidité à 67'098 fr. selon ses propres calculs de son évolution salariale hypothétique pour 2020 en référence à la convention collective de travail (CCT) applicable, précisant en outre qu’il serait insoutenable de retenir un revenu d’invalide de 64'957 fr. 74 supérieur au revenu sans invalidité. Il est d’avis qu’un abattement de 25 % se justifie sur le revenu d’invalide au vu de son statut d’étranger, du niveau de son français, de sa carrière en Suisse, de l’absence de formation ainsi que des limitations fonctionnelles. bb) En ce qui concerne la détermination des deux termes de la comparaison des revenus, il convient de rappeler que, dans le dossier assurance-accidents, le Tribunal fédéral, constatant que le revenu qu'aurait réalisé le recourant en 2020 auprès de son employeur (22 fr. par heure, soit 57'928 fr. par an) était légèrement en-dessous du salaire prévu à la CCT applicable (22 fr. 13 par heure, soit 58'635 fr. par an), a considéré que le revenu sans invalidité de 57'928 fr. représentait le revenu effectivement réalisé et était nettement inférieur à la moyenne statistique ; il convenait alors de l'augmenter de 12,92 % (la différence entre le salaire sans invalidité et le salaire statistique était de 17.92 % [70'572 fr. - 57'928 fr.] / 70'572 fr. x 100), la part qui excédait le taux minimal déterminant de 5 % et sur laquelle pouvait porter le parallélisme étant de 12.92 %. Il en résultait un revenu sans invalidité de 66'522 fr. 75, inférieur au revenu d'invalide de 68'446 fr., en sorte que l'application de la jurisprudence sur le parallélisme des revenus au cas du recourant ne lui était d'aucun secours (TF 8C_280/2022 du 1er mars 2023 consid. 7). Il convient de relever que la méthode pour la détermination du revenu sans invalidité retenue par la Haute Cour dans son arrêt du 1er mars 2023 (8C_280/2022) n’est pas plus favorable au recourant que celle appliquée par l’office intimé, qui peut être confirmée. cc) Concernant le revenu d’invalide, le recourant requiert la déduction d’un abattement de 25 % sur le revenu d’invalide.</w:t>
      </w:r>
    </w:p>
    <w:p>
      <w:r>
        <w:t>- 35 - On précisera que malgré le handicap le recourant est en mesure d’exercer une activité à plein temps sans diminution de rendement si l’activité respecte ses limitations fonctionnelles. Il convient donc d’examiner si celles-ci sont susceptibles d’influencer ses perspectives salariales. L’assuré doit privilégier une activité essentiellement assise, éviter le port de charges supérieures à dix - quinze kilos de manière itérative, ne pas monter sur une échelle ou un échafaudage, ne pas s’accroupir, ne pas se déplacer de manière prolongée surtout en terrain inégal, ne pas porter de chaussures rigides à coques talonnières et ne pas effectuer de pince entre le premier et troisième doigt. Au regard des activités physiques ou manuelles simples que recouvrent les secteurs de la production et des services (ESS, tableau TA1_skill_level, niveau de compétence 1), un nombre suffisant d’entre elles correspond à des travaux légers respectant les limitations fonctionnelles du recourant. Une déduction supplémentaire sur le salaire statistique de 5 % est suffisante pour tenir compte des circonstances liées à son handicap, en particulier manuel. En effet, un abattement n’entre en considération que si, sur un marché du travail équilibré, il n’y a plus un éventail suffisamment large d’activités accessibles à l’assuré (cf. TF 8C_118/2021 du 21 décembre 2021 consid. 6.3.1 et la référence). Le fait que le recourant soit de nationalité espagnole et qu’il dispose en Suisse d’une autorisation de séjour de type « B UE/AELE » ne s’avère pas pertinent, dès lors que les salaires statistiques de l’ESS auxquels l’OAI s’est référé sont basés sur les revenus de la population résidante tant suisse qu’étrangère qui est la population de référence dans la statistique. Quant à l’absence d’expérience et de formation, elle ne joue pas de rôle lorsque le revenu est déterminé en référence au salaire statistique auquel peuvent prétendre les hommes effectuant des activités simples et répétitives de niveau de compétence 1, comme c’est le cas en</w:t>
      </w:r>
    </w:p>
    <w:p>
      <w:r>
        <w:t>- 36 - l’espèce. En effet, ce niveau de compétence de l’ESS concerne une catégorie d’emplois ne nécessitant ni formation ni expérience professionnelle spécifique si ce n'est une phase initiale d'adaptation et d'apprentissage (cf. TF 8C_118/2021 précité consid. 6.3.2 ; TF 8C_175/2020 du 22 septembre 2020 consid. 4.2). S’agissant du manque de formation invoqué par le recourant, on ajoutera qu’il ne s'agit pas d'un facteur limitant les perspectives salariales admis par la jurisprudence (cf. ATF 126 V 75 consid. 5b/aa-cc). C'est également en vain que le recourant se réfère à ses capacités linguistiques déficientes comme facteur d'abattement dès lors que le niveau de qualification professionnelle déterminant ne nécessite en l'espèce pas une bonne maîtrise d'une langue nationale (cf. par exemple TF 9C_115/2018 du 5 juillet 2018 consid. 5.2 ; TF 9C_777/2015 du 12 mai 2016 consid. 5.3 et TF 9C_344/2015 du 25 novembre 2015 consid. 2.3). Un abattement plus élevé que celui appliqué par l’OAI ne se justifie donc pas. dd) De toute manière, même en retenant un montant de 67'098 fr. tel que proposé par le recourant pour le revenu sans invalidité, il en découlerait un taux d'invalidité de 3,18 %, arrondi à 3 %, qui n'ouvre pas non plus le droit à la rente. Le même constat s’imposerait avec un abattement de 25 % sur le revenu d’invalide donnant un taux d’invalidité de 23,76 %, arrondi à 24 %. Les griefs du recourant relatifs au calcul du degré d’invalidité doivent tous être rejetés. d) Finalement à la date de la décision litigieuse, la modification de l’état de santé du recourant depuis le 3 septembre 2019 ne justifiait pas l’octroi d’une rente en sa faveur au-delà du 31 décembre 2019 (art. 88a al. 1 RAI) compte tenu d’un degré d’invalidité en toutes hypothèses inférieur au seuil minimal fixé à 40 % ne permettant pas le maintien du droit à cette prestation (art. 28 al. 2 LAI).</w:t>
      </w:r>
    </w:p>
    <w:p>
      <w:r>
        <w:t>- 37 -</w:t>
      </w:r>
    </w:p>
    <w:p>
      <w:r>
        <w:rPr>
          <w:b/>
        </w:rPr>
        <w:t>E. 7</w:t>
      </w:r>
    </w:p>
    <w:p>
      <w:r>
        <w:t>Dans un dernier moyen, le recourant conteste le montant de la rente qui n’aurait pas été fixé en tenant compte des années de cotisation en Espagne. Il plaide que l’échelle 14 doit s’appliquer au vu de cette période de cotisation et une rente mensuelle de 680 fr. être allouée. Il est d’emblée précisé que l’OAI a pris en compte les périodes d’assurance accomplies en Espagne pour constater que la durée minimale de trois années de cotisations est remplie et permet l’ouverture d’un droit à une rente en Suisse. Seule est contestée l’absence de prise en considération des périodes de cotisations en Espagne dans le calcul du montant de la rente. a) Vu la nationalité espagnole du recourant et l’exercice de son droit à la libre circulation vers la Suisse en 2016, il y a lieu d'examiner la cause non pas sous l'angle de la Convention de sécurité sociale du 13 octobre 1969 entre la Confédération suisse et l’Espagne (RS 0.831.109.332.2) mais de l'Accord du 12 juin 1999 entre, d'une part, la Confédération suisse et, d'autre part, la Communauté européenne et ses Etats membres, sur la libre circulation des personnes (ALCP, RS 0.142.112.681), entré en vigueur le 1er juin 2002 (cf. art. 20 ALCP), ainsi que le règlement (CE) n°883/2004 du Parlement européen et du Conseil du 29 avril 2004 portant sur la coordination des systèmes de sécurité sociale (RS 0.831.109.268.1) en vigueur depuis le 1er avril 2012. Selon le système de coordination des prestations en cas d'invalidité prévu par l'ALCP, celui qui a accompli des périodes d'assurance en Suisse et dans un Etat membre de l'Union européenne, obtient, en principe, une rente partielle de l'assurance-invalidité suisse et une rente partielle allouée conformément au régime de sécurité sociale de l'Etat membre dans lequel il a cotisé. Le règlement (CE) n°883/2004 du Parlement européen et du Conseil du 29 avril 2004 portant sur la coordination des systèmes de sécurité sociale ne modifie pas fondamentalement ce qui précède. Il maintient le système de rentes partielles allouées par les institutions de</w:t>
      </w:r>
    </w:p>
    <w:p>
      <w:r>
        <w:t>- 38 - sécurité sociale de chacun des Etats concernés si les conditions matérielles prévues par sa législation sont remplies. Il maintient également le principe de totalisation des périodes d'assurance et de proratisation des prestations en fonction de la durée d'assurance dans chaque Etat (art. 46 par. 1 et 52 par. 1-3, vu la législation de type B au sens de l'art. 44 par. 1), sous réserve d'un calcul autonome lorsque ce procédé ne conduit pas à un résultat moins favorable pour l'intéressé (art. 52 par. 4). Un tel calcul autonome du montant des prestations, sur la seule base de la législation suisse, doit notamment être effectué pour les rentes de l'assurance-vieillesse, invalidité et survivants en Suisse (ALCP, annexe II, section A ch. 1 let. e, dans sa teneur en vigueur depuis le 1er avril 2012). La circulaire sur la procédure pour la fixation des prestations dans l’AVS/AI (CIBIL ; dans sa version au 1er janvier 2022), prévoit au demeurant ce qui suit : “3007 On peut par conséquent ne pas procéder à la totalisation et à la proratisation au sens de l’art. 52, al. 1, let. b, R 883/04 (ch. 5001 ss), puisque le calcul opéré selon la législation nationale aboutit le plus souvent à une rente d’un montant égal ou supérieur (art. 52, al. 4, R 883/04).” b) En l’espèce, l’intimé n’a pris en considération, à juste titre, que les périodes de cotisation accomplies en Suisse par le recourant. Il a procédé à un calcul autonome du montant de la rente, ce qui est conforme au système de coordination prévu par l’ALCP.</w:t>
      </w:r>
    </w:p>
    <w:p>
      <w:r>
        <w:rPr>
          <w:b/>
        </w:rPr>
        <w:t>E. 8</w:t>
      </w:r>
    </w:p>
    <w:p>
      <w:r>
        <w:t>Le dossier est complet, permettant ainsi à la Cour de statuer en connaissance de cause. Un complément d’instruction apparaît inutile et les requêtes formulées en ce sens par le recourant dans ses écritures – à savoir, la production d’un rapport complet du stage accompli auprès de Fondation B.________ et la remise de ce rapport aux experts, l’interpellation de son psychiatre traitant sur une série de questions complémentaires ainsi que l’audition de [...], du Centre de recyclage de la [...] de [...] en tant que témoin – doivent être rejetées. Notamment le psychiatre traitant s’est exprimé par le biais de rapports médicaux écrits, ce qui est suffisant, sans que des questions complémentaires ne soient de nature à modifier l’appréciation de la Cour qui dispose de tous les</w:t>
      </w:r>
    </w:p>
    <w:p>
      <w:r>
        <w:t>- 39 - éléments nécessaires pour statuer. La demande d’audition de témoin n’apportera rien de déterminant, les éléments au dossier étant suffisants pour se prononcer.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rPr>
          <w:b/>
        </w:rPr>
        <w:t>E. 9</w:t>
      </w:r>
    </w:p>
    <w:p>
      <w:r>
        <w:t>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Gutierrez peut prétendre une équitable indemnité pour son mandat d’office, qu’il convient, selon la liste des opérations du 26 septembre 2023, de fixer à 3'262 fr. 65, débours et TVA compris (art. 2, 3 al. 2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(auparavant : le Service juridique et législatif ; art. 5 RAJ).</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