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ZD23.007085 vom 21. Februar 2025</w:t>
      </w:r>
    </w:p>
    <w:p>
      <w:r>
        <w:t>VD Tribunal cantonal, 2025-02-21, FR</w:t>
      </w:r>
    </w:p>
    <w:p>
      <w:r>
        <w:rPr>
          <w:b/>
        </w:rPr>
        <w:t xml:space="preserve">Quelle: </w:t>
      </w:r>
      <w:r>
        <w:t>https://mcp.opencaselaw.ch/entscheid/vd_gerichte_ZD23.007085</w:t>
      </w:r>
    </w:p>
    <w:p>
      <w:r>
        <w:t>FR: VD_GERICHTE ZD23.007085 du 21 février 2025</w:t>
      </w:r>
    </w:p>
    <w:p>
      <w:r>
        <w:t>IT: VD_GERICHTE ZD23.007085 del 21 febbraio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w:t>
      </w:r>
    </w:p>
    <w:p>
      <w:r>
        <w:t>- 12 -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d)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citées ; TF 8C_837/2019 du 16 septembre 2020 consid. 5.2).</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- 13 -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w:t>
      </w:r>
    </w:p>
    <w:p>
      <w:r>
        <w:t>- 14 -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w:t>
      </w:r>
    </w:p>
    <w:p>
      <w:r>
        <w:rPr>
          <w:b/>
        </w:rPr>
        <w:t>E. 9</w:t>
      </w:r>
    </w:p>
    <w:p>
      <w:r>
        <w:t>La recourante prétend à l’octroi de mesures d’ordre professionnel. S’agissant d’une éventuelle mesure de reclassement, même si la capacité de gain de la recourante a diminué de plus de 20 % (son taux d’invalidité étant de 24,75 %) ce qui pourrait ouvrir le droit à un reclassement professionnel (art. 17 al. 1 LAI ; ATF 139 V 399 consid. 5.3), il faut constater que de nombreuses activités adaptées à ses limitations fonctionnelles ne nécessitent pas de formation particulière (activités légères visées par l’ESS, skill_level, niveau de compétence 1 ; cf. TF 9C_486/2022 du 17 août 2023 consid. 8). Elle ne peut ainsi prétendre à une telle mesure. C’est le lieu de rappeler que la recourante a été mise au bénéfice d’un soutien pour rechercher un emploi approprié au sens de l’art. 18 LAI, conformément à la communication de l’intimé du 3 novembre 2022.</w:t>
      </w:r>
    </w:p>
    <w:p>
      <w:r>
        <w:rPr>
          <w:b/>
        </w:rPr>
        <w:t>E. 10</w:t>
      </w:r>
    </w:p>
    <w:p>
      <w:r>
        <w:t>a) En définitive, le recours, mal fondé, doit être rejeté et la décision attaquée confirmée. b) La procédure de recours en matière de contestations portant sur l’octroi ou le refus de prestation de l’AI devant le tribunal cantonal des assurances est soumise à des frais de justice (art. 69 al. 1bis LAI). En l’espèce, les frais judiciaires, arrêtés à 600 fr., sont mis à la charge de la recourante, qui succombe. c) Il n’y a pas lieu d’allouer de dépens à la recourante, qui n’obtient pas gain de cause et a procédé sans mandataire qualifié (art. 61 let. g LPGA).</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