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ZD23.006290 vom 8. Juli 2024</w:t>
      </w:r>
    </w:p>
    <w:p>
      <w:r>
        <w:t>VD Tribunal cantonal, 2024-07-08, FR</w:t>
      </w:r>
    </w:p>
    <w:p>
      <w:r>
        <w:rPr>
          <w:b/>
        </w:rPr>
        <w:t xml:space="preserve">Quelle: </w:t>
      </w:r>
      <w:r>
        <w:t>https://mcp.opencaselaw.ch/entscheid/vd_gerichte_ZD23.006290</w:t>
      </w:r>
    </w:p>
    <w:p>
      <w:r>
        <w:t>FR: VD_GERICHTE ZD23.006290 du 8 juillet 2024</w:t>
      </w:r>
    </w:p>
    <w:p>
      <w:r>
        <w:t>IT: VD_GERICHTE ZD23.006290 del 8 luglio 2024</w:t>
      </w:r>
    </w:p>
    <w:p>
      <w:pPr>
        <w:pStyle w:val="Heading2"/>
      </w:pPr>
      <w:r>
        <w:t>Erwägungen</w:t>
      </w:r>
    </w:p>
    <w:p>
      <w:r>
        <w:rPr>
          <w:b/>
        </w:rPr>
        <w:t>E. 19</w:t>
      </w:r>
    </w:p>
    <w:p>
      <w:r>
        <w:t>février 2016, le diagnostic sans répercussion sur la capacité de travail de trouble anxieux et dépressif mixte (F41.2) en rémission. Il n’existait plus, selon cette spécialiste, de limitations fonctionnelles. Sur cette base, Q.________ SA a mis un terme à ses prestations à compter du 7 mars 2016. Interrogé par l’OAI, le Dr E.________ a attesté, le 5 septembre 2016, d’une incapacité de travail à 100 % du 1er mai 2015 au 30 août 2016 avec une reprise à un taux d’activité de 60 à 80 % dans une activité adaptée aux limitations fonctionnelles (difficultés de concentration et fatigabilité) dès le 1er septembre 2016. Réinterrogé par l’OAI, le Dr E.________ a fait savoir, dans son rapport du 14 août 2017, que l’assurée bénéficiaire d’une pleine capacité de travail dans son activité habituelle dès le 1er janvier 2017. L’OAI a mis en œuvre une enquête économique sur le ménage au domicile de l’assurée. Dans son rapport du 28 juin 2017, l’enquêtrice a notamment fixé un statut de personne 100 % active, ceci sur la base notamment des explications fournies par l’intéressée lors de l’entretien. Dans un rapport du 1er novembre 2017, le Dr S.B.________, médecin au Service médical régional de l’AI, a reconnu, sur la base des rapports médicaux au dossier, une incapacité de travail totale dans toutes activités à compter du 15 décembre 2014 et, à compter du 7 mars 2016, une capacité de travail de 70 % dans l’activité habituelle et de 100 % dans une activité adaptée aux limitations fonctionnelles (difficultés de concentration et fatigabilité). Par décision du 13 septembre 2018, confirmant un projet de décision du 11 juin 2018, l’OAI a octroyé à l’assurée une rente entière de l’assurance invalidité du 1er février au 30 juin 2016. Cette décision est entrée en force.</w:t>
      </w:r>
    </w:p>
    <w:p>
      <w:r>
        <w:t>- 4 - B. Par courrier du 23 avril 2019, l’assurée a fait état d’une aggravation de son état de santé. Elle a joint à sa missive un rapport du</w:t>
      </w:r>
    </w:p>
    <w:p>
      <w:r>
        <w:rPr>
          <w:b/>
        </w:rPr>
        <w:t>E. 24</w:t>
      </w:r>
    </w:p>
    <w:p>
      <w:r>
        <w:t>mai 2019 du Dr B.________, deux rapports des 3 avril et 16 mai 2019 de la Dre L.________, spécialiste en rhumatologie et un rapport du 14 mai 2019 du Dr E.________. Dans ses rapports des 3 avril et 16 mai 2019, la Dre L.________ a posé les diagnostics de polyarthrite rhumatoïde séronégative, de périarthrite gauche (syndrome douloureux du grand trochanter), de chondropathie de grade 3 de la facette interne de la patella à gauche, d’argument clinique en faveur d’un syndrome fémoro-patellaire à gauche et d’une composante d’hyperlaxité au testing des genoux, des chevilles et des pouces qui participait aux douleurs articulaire et ab-articulaire. Elle a estimé que sa patiente devait éviter le port de charges, les mouvements répétitifs, privilégier le changement de position, éviter de se mettre à genoux ou accroupie, de monter et descendre les escaliers ponctuellement, éviter de marcher sur un terrain irrégulier et de monter sur une échelle. Dans son rapport du 14 mai 2019, le Dr E.________ a attesté d’une péjoration de l’état psychopathologique de l’assurée et d’une dépression moyenne. Il a estimé qu’en raison des limitations fonctionnelles psychiques (diminution de la capacité de concentration, sensibilité accrue au stress et anxiété latente), il estimait que sa patiente ne pouvait plus travailler à plus de 50 % après analyse et pondération de la situation, laquelle comprenait une composante rhumatologique chronique. Le 28 mai 2019, l’assurée a adressé à l’OAI une nouvelle demande de prestations AI, renvoyant au rapport du Dr B.________ et de la Dre L.________. Sollicité pour avis, le Dr S.B.________ du SMR a retenu que l’assurée bénéficiait d’une capacité de travail de 50 % dans une activité adaptée à ses limitations fonctionnelles (« Limitations fonctionnelles :</w:t>
      </w:r>
    </w:p>
    <w:p>
      <w:r>
        <w:t>- 5 - Travaux physiques autres que légers. Port de charges (estimé par moi à 5 à 8 kg), mouvements répétitifs avec les membres supérieurs. Depuis août 2018 : Positions prolongées sans possibilité de changement. Depuis novembre 2018 : Travail à genoux et accroupi, marche autre qu’occasionnelle dans les escaliers, marche en terrain irrégulier, travail sur échelles. Depuis mars 2019 : Travaux exigeant une capacité de concentration soutenue. Résistance au stress diminuée. ») depuis le mois de mars 2019. Par communication du 20 novembre 2019, l’OAI a octroyé à l’assurée une mesure d’intervention précoce sous forme de modules externalisés auprès de la C.________. Il ressort du rapport du 9 décembre 2019 de premier entretien d’intervention précoce établi par C.________ que l’assurée s’était plainte de déformations dans les doigts depuis quelque temps et de ne plus être en mesure de fermer complètement les mains, précisant qu’un suivi d’ergothérapie serait prochainement mis en place (dossier AI, p. 363). Dans son rapport d’intervention précoce établi le</w:t>
      </w:r>
    </w:p>
    <w:p>
      <w:r>
        <w:rPr>
          <w:b/>
        </w:rPr>
        <w:t>E. 27</w:t>
      </w:r>
    </w:p>
    <w:p>
      <w:r>
        <w:t>février 2020, C.________ a relevé que l’assurée se plaignait d’une perte de sensibilité dans les doigts, ce qui l’empêchait de réaliser des activités précises et minutieuses. C.________ a mentionné que dans les domaines de la santé et du social ainsi que de la communication, des arts et de l’apparence, lesquels intéressaient l’assurée, aucune profession n’était accessible, en raison notamment de contraintes physiques ne respectant pas les limitations fonctionnelles et d’un besoin de dextérité trop important (dossier AI, pp. 373-374). Le 28 juillet 2020, l’OAI a estimé que l’assurée pouvait mettre sa capacité de travail résiduelle en valeur dans un travail simple et répétitif dans le domaine industriel léger (montage, contrôle ou surveillance d’un processus de production, ouvrière à l’établi dans des activités simples et légères, ouvrière dans le conditionnement), proposer ses services comme aide à domicile pour des personnes âgées ou comme</w:t>
      </w:r>
    </w:p>
    <w:p>
      <w:r>
        <w:t>- 6 - aide-animatrice en centre de jour ou en EMS. Il a procédé au calcul du degré d’invalidité de l’assurée comme il suit : Par décision du 1er octobre 2020, confirmant un projet de décision du 19 août 2020, l’OAI a octroyé à l’assurée un quart de rente d’invalidité à compter du 1er octobre 2019 sur la base d’un degré d’invalidité de 45 %, d’un revenu sans invalidité de 49'883 fr. 90 et d’un revenu d’invalide de 27'447 fr. 31. Cette décision est entrée en force. C. a) Par courrier du 23 juillet 2021, l’assurée a fait état d’une aggravation de son état de santé. Elle a joint à son courrier un rapport du</w:t>
      </w:r>
    </w:p>
    <w:p>
      <w:r>
        <w:rPr>
          <w:b/>
        </w:rPr>
        <w:t>E. 31</w:t>
      </w:r>
    </w:p>
    <w:p>
      <w:r>
        <w:t>décembre 2021), un taux d’invalidité de 40 % donne droit à un quart de rente, un taux d’invalidité de 50 % au moins donne droit à une demi- 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w:t>
      </w:r>
    </w:p>
    <w:p>
      <w:r>
        <w:t>- 13 - réadaptation, sur un marché du travail équilibré (revenu avec invalidité ; art. 16 LPGA). c) Aux termes de l’art. 17 al. 1 LPGA (dans sa teneur en vigueur au 31 décembre 2021),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147 V 167 consid. 4.1 ; 133 V 108 consid. 5.2). d) Conformément à l’art. 88a al. 2 RAI, si la capacité de gain de l’assuré ou sa capacité d’accomplir les travaux habituels se dégrade, ce changement est déterminant pour l’accroissement du droit aux prestations dès qu’il a duré trois mois sans interruption notable. Selon l’art. 88bis al. 1 let. a RAI, l’augmentation de la rente, de l’allocation pour impotent ou de la contribution d’assistance prend effet, au plus tôt, si la révision est demandée par l’assuré, dès le mois où cette demande est présentée. 5. a) Pour fixer le degré d’invalidité, l’administration – en cas de recours, le juge – se fonde sur des documents médicaux, ainsi que, le cas</w:t>
      </w:r>
    </w:p>
    <w:p>
      <w:r>
        <w:t>- 14 -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Les affections psychiques, les affections psychosomatiques et les syndromes de dépendance à des substances psychotropes doivent en principe faire l’objet d’une procédure probatoire structurée (ATF 145 V 215 ; 143 V 418 consid. 6 et 7 ; 141 V 281 et les références citées). Ainsi,</w:t>
      </w:r>
    </w:p>
    <w:p>
      <w:r>
        <w:t>- 15 -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d) Fondés sur l’art. 59 al. 2bis LAI, en corrélation avec l’art. 49 al. 1 RAI, les avis médicaux du SMR se distinguent des expertises ou des examens médicaux auxquels le SMR peut également procéder (art. 49 al. 2 RAI). De par leur nature, ils n’impliquent pas d’examen clinique. Ils ont seulement pour fonction d’opérer la synthèse des renseignements médicaux recueillis, de prendre position à leur sujet et de prodiguer des recommandations quant à la suite à donner au dossier sur le plan médical. Il est admissible de se fonder de manière déterminante sur leur contenu, sauf s’ils sont sérieusement contredits par d’autres rapports médicaux que les médecins du SMR auraient ignorés (ATF 142 V 58 consid. 5.1 ; TF 9C_10/2017 du 27 mars 2017 consid. 5.1 et les références citées). 6. En l’espèce, l’intimé est entré en matière sur la troisième demande de prestations AI déposée le 23 juillet 2021 par la recourante et a repris l’instruction en requérant de nouveaux rapports médicaux auprès des médecins consultés par la recourante. Il convient dès lors d’examiner si, entre la dernière décision entrée en force du 1er octobre 2020, par laquelle l’intimé a octroyé à la recourante un quart de rente d’invalidité à compter du 1er octobre 2019, et la décision litigieuse du 11 janvier 2023, l’état de santé de l’intéressée s’est modifié de manière à influencer son droit à des prestations de l’assurance-invalidité. A cet égard, la recourante reproche à l’OAI d’avoir écarté l’avis du Dr B.________, lequel serait le seul médecin à se prononcer sur la capacité de travail globale. Elle fait aussi grief à l’intimé d’avoir retenu, à titre d’exemples, des activités adaptées qui demanderaient soit des mouvements répétitifs, soit des activités demandant l’application de la force, ce qui n’était pas compatible avec ses limitations fonctionnelles. Elle</w:t>
      </w:r>
    </w:p>
    <w:p>
      <w:r>
        <w:t>- 16 - soutient encore que le fait que ni l’activité d’aide à domicile pour des personnes âgées ni celle d’aide-animatrice en EMS proposées par la REA n'étaient compatibles avec les limitations fonctionnelles, montrait les difficultés à trouver une activité adaptée, laquelle n’existerait plus. Pour la recourante, ses nouvelles limitations fonctionnelles avaient non seulement une influence sur le genre d'emploi envisageable, mais aussi sur le rythme de travail et sur le rendement, ceux-ci ne pouvant être identiques à ceux d’une personne valide. La recourante en déduit qu’elle ne peut plus mettre en valeur sa capacité de travail sur un marché équilibré du travail et subsidiairement qu’un abattement de 10 à 20 % sur le revenu d’invalide devrait être opéré pour tenir compte de l’aggravation des limitations fonctionnelles. L’intimé soutient au contraire que, malgré les nouvelles limitations fonctionnelles admises par son service médical, la capacité de travail de la recourante resterait la même et qu’elle ne verrait pas ses perspectives professionnelles réduites. Ainsi, le degré d’invalidité de la recourante resterait de 45 % et ne justifierait pas l’octroi d’une rente supérieure. 7. a) En ce qui concerne l’appréciation de la capacité de travail de la recourante, il y a lieu de suivre les conclusions du SMR, lesquelles se fondent sur l’appréciation des spécialistes l’ayant suivie. b) Sur le plan rhumatologique, il n’y a pas lieu de s’écarter de l’avis bien motivé de la Dre L.________, lequel repose sur des examens cliniques et radiologiques réguliers. Cette spécialiste a décrit l’évolution de l’état de santé de sa patiente dans ses rapports des 16 juin 2021, 14 mars 2022 et 11 février 2023. Elle a retenu les diagnostics de polyarthrite rhumatoïde séronégative sous traitement de Méthotrexate, avec des gonalgies gauches sur chondropathie fémoro-patellaire et des troubles sensitifs atypiques des membres supérieurs en 2019 (consultation de neurologie de 2019 et IRM cervicale de 2019 dans les limites de la norme) ainsi que de tendance à l’hyperlaxité localisée à certaines articulations (chevilles, genoux et pouces). La rhumatologue traitante a</w:t>
      </w:r>
    </w:p>
    <w:p>
      <w:r>
        <w:t>- 17 - indiqué, dans son rapport du 14 mars 2022, que sa patiente se plaignait désormais d’arthralgies touchant en particulier les poignets, les métacarpophalangiennes ainsi que de douleurs ab-articulaires localisées de façon prédominante en région sous-acromiale. Elle a constaté que l’évolution clinique de la maladie de la recourante n’était pas suffisamment favorable malgré la prise en charge en ergothérapie. Elle a commandé un bilan neurologique, lequel avait révélé des troubles sensitifs atypiques des membres supérieurs et permis d’exclure des lésions au niveau du rachis cervical (IRM cervicale du 29 octobre 2019). Sur la base des examens pertinents, la Dre L.________ a estimé que la capacité de travail dans une activité adaptée n’avait pas évolué. Le Dr B.________ a aussi attesté d’une aggravation des limitations fonctionnelles dans son rapport du 31 mai 2021, mentionnant une limitation de l’utilisation des mains (laisse de plus en plus tomber des choses et manque de force pour toute activité manuelle). Dans son rapport à l’OAI du 10 septembre 2021, le Dr B.________ a estimé que les limitations fonctionnelles concernaient tous les travaux manuels, surtout répétitifs et ceux nécessitant de la force. En tant qu’ils portent sur les limitations fonctionnelles et bien que moins précis que ceux de la rhumatologue traitante, les rapports du Dr B.________ sont probants et suivent les avis des spécialistes consultés par la recourante. On constate d’ailleurs que les plaintes fonctionnelles de la recourante en relation avec ses mains avaient déjà été émises lors des entretiens avec C.________ (rapport du 9 décembre 2019, dossier AI, p. 363 et rapport d’intervention précoce établi le 27 février 2020, dossier AI, pp. 373-374) sans être prises en considération dans le cadre de la précédente décision du fait probablement de leur caractère pas suffisamment objectivé sur le plan médical et du fait qu’il n’avait pas été constaté d’empêchements en lien avec les doigts pendant le stage en EMS du 6 au 8 juillet 2020 (dossier AI, p. 385). Dès lors que ces limitations fonctionnelles sont désormais suffisamment caractérisées et constatées sur le plan médical, elles doivent être prises en compte comme aggravation, ceci à compter du 28 mai 2021 (date de la consultation</w:t>
      </w:r>
    </w:p>
    <w:p>
      <w:r>
        <w:t>- 18 - auprès de la Dre L.________, cf. rapport de cette dernière du 16 juin 2021), ce qui est d’ailleurs admis par la Dre S.A.________ du SMR dans son avis du 21 avril 2023. C’est ainsi à juste titre que le SMR a énuméré les limitations fonctionnelles affectant la recourante dans l’avis du 21 avril 2023 produit en procédure (travaux physiques légers, port de charges, pas de mouvements répétitifs avec les membres supérieurs, éviter les mouvements répétitifs, éviter les mouvements d’essorage, éviter les activités nécessitant de serrer des objets fortement avec les mains, pas de positions prolongées sans possibilité de changement, pas de travail à genoux et accroupi, marche occasionnelle dans les escaliers, en terrain irrégulier, sur échelles, pas de travaux exigeant une capacité de concentration soutenue, résistance au stress diminuée) et distingué entre les limitations existantes au moment de la décision du 1er octobre 2020 (travaux physiques légers, port de charges de moins de 8 kg, pas de mouvements répétitifs avec les membres supérieurs, pas de positions prolongées sans possibilité de changement, pas de travail à genoux et accroupi, marche occasionnelle dans les escaliers, en terrain irrégulier, sur échelles, pas de travaux exigeant une capacité de concentration soutenue, résistance au stress diminuée) et les nouvelles inhérentes à l’aggravation de l’état de santé de la recourante sur le plan ostéo- articulaire (patiente qui doit éviter les mouvements répétitifs, le port de charges, les mouvements d'essorage et les activités nécessitant de serrer des objets fortement avec les mains). Bien-fondé, l’avis SMR du 21 avril 2023 est basé sur les seuls avis des médecins traitants, lesquels ne sont pas remis en cause par d’autres éléments du dossier, si bien qu’il peut être suivi en ce qui concerne les limitations fonctionnelles d’ordre rhumatologique (cf. art. 49 al. 1 RAI). c) La recourante a également bénéficié d’un suivi en orthopédie et d’une prescription de physiothérapie. Après avoir examiné la</w:t>
      </w:r>
    </w:p>
    <w:p>
      <w:r>
        <w:t>- 19 - recourante à la demande de la Dre L.________, le Dr D.________ a mentionné une évolution favorable des atteintes au genou gauche (cf. IRM du 11 août 2020) sous traitement de condrosulf, lesquelles ne se répercutaient pas, au niveau orthopédique, sur les activités de sa patiente (cf. rapports des 5 septembre 2021, 4 septembre, 7 août et 29 mai 2020). Ce spécialiste a en outre attiré l’attention des intervenants que, dans le contexte d’une polyarthrite rhumatoïde séronégative, il y avait lieu de retarder autant que faire se peut une future sanction chirurgicale de l’arthrose affectant la recourante (rapport du 29 mai 2020). Quant au Dr T.________, également sollicité par la Dre L.________ (cf. rapport du 20 mai 2022), il a pratiqué une infiltration et prescrit de la physiothérapie pour traiter la bursite sous-acromio-deltoïdienne de l’épaule droite et la tendinopathie du sus-épineux à droite qu’il a diagnostiqué. Il convient de relever que les limitations fonctionnelles relevées par le Dr B.________ dans son rapport du 31 mai 2021 en raison de la gonarthrose débutante (éviter la marche prolongée et le travail en position debout) ne sont pas nouvelles et avaient déjà été retenues par le SMR (avis du 12 août 2019) dans le cadre de l’instruction ayant conduit à la décision du 1er octobre 2020. On observe de surcroît que les limitations fonctionnelles retenues sur le plan rhumatologique permettent aussi l’épargne des genoux et des épaules (port de charges, positions, etc.). Non contestés, ces éléments emportent la conviction de la Cour de céans. d) Sur le plan psychiatrique, le Dr E.________ a attesté, dans son rapport du 11 novembre 2021, d’un trouble dépressif récurrent, épisode en cours léger à moyen. Il a estimé que, sur le plan strictement psychiatrique, une capacité de travail d’au maximum 50 % était exigible. Le psychiatre traitant a mentionné des plaintes en relation avec des poussées des douleurs, surtout aux membres supérieurs, liées à sa polyarthrite rhumatoïde. Ce faisant, le Dr E.________ ne mentionne aucune nouvelle limitation fonctionnelle ou restriction de la capacité de travail résiduelle exigible sur le plan psychiatrique par rapport à la décision du 1er octobre 2020, ce dont les parties ne disconviennent pas. On rappelle à toutes fins utiles que le rapport établi par la Dre V.________ le 19 février 2016 est inexploitable, car intervenu à une époque où il n’était</w:t>
      </w:r>
    </w:p>
    <w:p>
      <w:r>
        <w:t>- 20 - pas possible d’accorder pleine confiance à une expertise rendue par un médecin psychiatre au sein de la Clinique F.________ (ATF 144 V 258 consid. 2.3.2), ce qui ne change rien à la solution du litige, l’intimé s’étant à juste titre fondé sur les rapports bien motivés du Dr E.________. e) Dans son rapport du 31 mai 2021, le Dr B.________ affirmait qu’en raison de l’évolution délétère sur le plan somatique (arthrose des mains et gonarthrose gauche débutante), une activité adaptée à 50 % n’était plus possible. Invité à compléter le rapport AI pour les révisions de rente, le Dr B.________ a justifié, le 10 septembre 2021, une capacité de travail résiduelle dans une activité adaptée de 40 % par le fait que sa patiente était dans l’impossibilité d’utiliser ses doigts et ses mains pour faire un travail manuel dans un contexte d’absence d’étude et de formation professionnelle permettant un travail autre que manuel. Cette baisse de la capacité de travail n’est cependant appuyée par aucun avis de spécialiste. Le rapport du 10 septembre 2021 du Dr B.________ repose sur une appréciation différente d’un même état de fait, à savoir l’impossibilité, selon ce médecin, d’utiliser ses doigts et ses mains pour faire un travail manuel, et non d’éléments médicaux objectifs qui n’auraient pas été évalués par les spécialistes et en particulier par la rhumatologue traitante. On observe d’ailleurs qu’aucun médecin ne soutient qu’il est impossible pour la recourante d’utiliser ses mains comme l’avance, de manière quelque peu péremptoire, le Dr B.________. On observe encore que ce médecin écrit d’ailleurs, dans son rapport du 10 septembre 2021, que depuis l’octroi de la rente aucune modification n’est intervenue (p. 3, ch. 8, dossier AI, p. 476) et qu’il y a une légère aggravation (p. 4, ch. 17, dossier AI, p. 477). Dans ces conditions, il y a lieu de retenir que le Dr B.________ ne s’appuie pas sur un substrat médical objectif pour justifier la baisse de la capacité de travail qu’il retient, ceci dans une position délicate pour constater les faits dans un contexte assécurologique en raison du rapport de confiance et de la relation thérapeutique avec la recourante, si bien qu’il y a lieu de suivre les avis de la Dre L.________, sans qu'un complément d’instruction, voire une nouvelle expertise ne se justifie.</w:t>
      </w:r>
    </w:p>
    <w:p>
      <w:r>
        <w:t>- 21 - Quant à l’activité habituelle, il n’existe au demeurant aucun élément laissant à penser qu’il subsisterait une capacité de travail de 20 % comme le rappelle à juste titre le SMR dans son avis du 21 avril 2023, la Dre L.________ attestant au contraire d’une incapacité de travail totale dans son rapport du 14 mars 2022. f) Aussi, il y a lieu de conclure que la recourante présente désormais une capacité de travail résiduelle de 50 % dans une activité adaptée à ses limitations fonctionnelles (travaux physiques légers, port de charges, pas de mouvements répétitifs avec les membres supérieurs, éviter les mouvements répétitifs, éviter les mouvements d’essorage, éviter les activités nécessitant de serrer des objets fortement avec les mains, pas de positions prolongées sans possibilité de changement, pas de travail à genoux et accroupi, marche occasionnelle dans les escaliers, en terrain irrégulier, sur échelles, pas de travaux exigeant une capacité de concentration soutenue, résistance au stress diminuée), ceci à compter du 28 mai 2021. Quant à la capacité de travail dans l’activité habituelle, elle demeure de 0 %. 8. a) La recourante conteste que sa capacité de gain résiduelle puisse être mise à profit sur le premier marché de l’emploi, même dans un emploi de niche chez un employeur compréhensif au vu de ses limitations fonctionnelles. Ce faisant elle conclut implicitement à la réforme de la décision attaquée et à l’octroi d’une rente entière. b)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main-d’œuvre et, d’autre part, un marché du travail structuré de telle sorte qu’il offre un éventail d’emplois diversifiés, tant au regard des exigences professionnelles et intellectuelles qu’au niveau des sollicitations physiques, y compris pour les assurés monomanuels (TF 9C_459/2009 du 31 mars 2010 consid. 3.2). Il n’y a donc pas lieu d’examiner la question de savoir si l’assuré peut être placé eu</w:t>
      </w:r>
    </w:p>
    <w:p>
      <w:r>
        <w:t>- 22 - égard aux conditions concrètes du marché du travail, mais uniquement de se demander s’il pourrait encore exploiter économiquement sa capacité résiduelle de travail sur un marché où les places de travail disponibles correspondent à l’offre de main-d’œuvre (ATF 110 V 273 consid. 4b ; TF 8C_407/2018 du 3 juin 2019 consid. 5.2 ; 9C_633/2016 du 28 décembre 2016 consid. 4.2).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9C_326/2018 du 5 octobre 2018 consid. 6.2 ; 9C_286/2015 du 12 janvier 2016 consid. 4.2). c) Dans le cas particulier, compte tenu de l’éventail d’activités simples et répétitives (qui correspondent à un emploi léger respectant les limitations fonctionnelles observées), exigible à un taux d’activité de 50 %, que recouvre le marché du travail en général – et le marché du travail équilibré en particulier – il faut admettre qu’un nombre significatif d’entre elles sont adaptées à la recourante et accessibles sans formation particulière (TF 9C_695/2010 du 15 mars 2011 consid. 6.3). Même s’il y a lieu d’admettre avec la recourante qu’une partie des activités proposées par l’OAI dans le nouveau calcul du salaire exigible du 11 mai 2023 produit à l’appui de la réponse du 16 mai 2023 semble difficile à envisager compte tenu des limitations fonctionnelles aux mains (travail simple dans le domaine industriel léger, par exemple ouvrière à l’établi dans des activités simples et légères dans l’horlogerie ou dans le montage de composants légers comme dans le domaine de l’électronique), il demeure tout de même différents types d’activités possibles (notamment des activités simples et légères comme aide-administrative [réception, scannage et autres], dans la vente simple [shop et autres] ou dans le contrôle et la surveillance d’un processus de production) – dont il y a lieu d’admettre qu’elles ne contreviendraient pas aux restrictions psychiques</w:t>
      </w:r>
    </w:p>
    <w:p>
      <w:r>
        <w:t>- 23 - et physiques découlant des diagnostics retenus par le corps médical et au taux d’activité exigible de 50 %. Dans ces circonstances, le grief de la partie recourante relatif à la mise en valeur de sa capacité de travail résiduelle doit donc être écarté. 9. Cela étant constaté, il convient de déterminer le degré d’invalidité que présente la recourante. a)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bb)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w:t>
      </w:r>
    </w:p>
    <w:p>
      <w:r>
        <w:t>- 24 - par l’Office fédéral de la statistique dans l’Enquête suisse sur la structure des salaires (ESS ; ATF 143 V 295 consid. 2.2 et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Le point de savoir s’il se justifie de procéder à un abattement sur le salaire statistique en raison des limitations fonctionnelles dépend de la nature de celles-ci ; une réduction à ce titre n’entre en considération que si, dans un marché du travail équilibré, il n’y a plus un éventail suffisamment large d’activités accessibles à l’assuré. Aussi y a-t-il lieu de déterminer si les limitations fonctionnelles constituent un facteur qui obligerait l’assuré à mettre en valeur sa capacité de travail résiduelle sur le marché du travail à des conditions économiques plus défavorables que</w:t>
      </w:r>
    </w:p>
    <w:p>
      <w:r>
        <w:t>- 25 - la moyenne, soit entraînant un désavantage salarial (TF 8C_679/2020 du 1er juillet 2021 consid. 6.2.1 et les références). dd) Une décision est arbitraire (art. 9 Cst.) lorsqu’elle contredit clairement la situation de fait, qu’elle viole gravement une norme ou un principe juridique clair et indiscuté ou qu’elle heurte d’une manière choquante le sentiment de la justice et de l’équité. Tel est le cas lorsque la décision litigieuse apparaît insoutenable, en contradiction manifeste avec la situation effective, adoptée sans motifs objectifs ou en violation d’un droit certain. En outre, pour qu’une décision soit annulée au titre de l’arbitraire, il ne suffit pas qu’elle se fonde sur une motivation insoutenable ; encore faut-il qu’elle apparaisse arbitraire dans son résultat (ATF 147 I 241 consid. 6.2.1 ; 147 II 454 consid. 4.4). b) aa) En l’espèce, le revenu sans invalidité peut être arrêté à 49'192 fr. 02 en 2016 selon le projet de décision du 11 juin 2018, alors fondé sur les données transmises par le dernier employeur le 4 septembre 2015. Il convient d’indexer ce montant pour 2021 selon la table T39 (Evolution des salaires nominaux, des prix à la consommation et des salaires réels, 2010-2022), date de la modification éventuelle du droit à la rente, selon le calcul suivant : Année Indexation Revenu 2016 49'192.02 2017 0,4 % 49'388.79 2018 0,5 % 49'635.73 2019 1,0 % 50'132.09 2020 0,9 % 50'583.28 2021 0,6 % 50'886.78 Le revenu sans invalidité se monte ainsi à 50'886 fr. 78 pour 2021.</w:t>
      </w:r>
    </w:p>
    <w:p>
      <w:r>
        <w:t>- 26 - bb) Quant au revenu d’invalide, il convient de se référer aux données statistiques ce qui n’est pas contesté étant rappelé que la recourante n’a pas repris d’activité lucrative. Aussi, le salaire de référence pour une femme dans les activités de services et de production pour l’année 2020 toutes catégories confondues se monte à 4'276 fr. par mois, part au treizième salaire comprise (ESS 2020, tableau TA1_tirage_skill_level, niveau de compétence 1), soit 51'312 fr. par an. Compte tenu d’une indexation de 0,6 % pour 2021, date de la modification éventuelle du droit à la rente, cela représente 51'619 fr. 87. Compte tenu de la durée hebdomadaire de travail de 41,7 heures en 2021 dans ces secteurs d’activité (Tableau Durée normale du travail dans les entreprises selon la division économique T 03.02.03.01.04.01, ch. 01-96), ce chiffre doit être porté à 53'813 fr. 72. Il convient ensuite de tenir compte d’une capacité de travail de 50 % dans les activités adaptées pour aboutir à un chiffre de 26'906 fr. 86. Reste à statuer sur une éventuelle réduction du salaire statistique que la recourante estime dans une fourchette de 10 à 20 %. cc) En l’occurrence, il y a lieu de relever que même par rapport à la liste proposée par la REA dans le calcul du salaire exigible du 11 mai 2023 produit en procédure, certaines activités proposées ne répondent plus aux limitations fonctionnelles, en particulier les nouvelles limitations qui ont justifié la révision (patiente qui doit éviter les mouvements répétitifs, le port de charges, les mouvements d'essorage et les activités nécessitant de serrer des objets fortement avec les mains). L’intimé ne peut ainsi pas retenir des activités industrielles légères ou un travail à l’établi qui n’est plus exigible selon les considérations des médecins traitants et de son service médical. De tels emplois impliquent en effet des mouvements répétitifs avec les membres supérieurs, des ports de charges, même minimes et de serrer des objets. Sur ce point, la décision est arbitraire dans son fondement comme dans son résultat du point de vue des exigences de reclassement pour la recourante. De surcroît, les limitations concernant les membres supérieurs et les mains restreignent durablement quantité d’activités exigibles si bien que la</w:t>
      </w:r>
    </w:p>
    <w:p>
      <w:r>
        <w:t>- 27 - recourante ne peut pas espérer retrouver des conditions économiques dans la moyenne dès lors que d’autres sphères sont également touchées (genou, épaule, dos, mains, concentration). Ces limitations sont susceptibles d'influencer ses perspectives salariales pour un emploi tel que proposé par la REA (sur les restrictions des membres supérieurs, cf. TF 8C_546/2019 du 7 septembre 2020 consid. 4.3 ; 8C_823/2019 du 9 septembre 2020 consid. 6). Ces limitations fonctionnelles induisent ainsi des conditions économiques nettement plus défavorables que la moyenne, restreignent le champ des emplois exigibles de manière incisive et justifient un abattement de 10 %, si bien que le revenu d’invalide se monte à 24'216 fr. 17 (26'906 fr. 86 - 10%) et le degré d’invalidité à 52,41 % (26'670 fr. 61 ÷ 50'886 fr. 78). Ce calcul ouvre ainsi le droit à une demi- rente, étant souligné que même avec un abattement de 5 %, manifestement insuffisant compte tenu du cas d’espèce, le revenu d’invalide serait de 25'561 fr. 52 (26'906 fr. 86 - 5%) et le degré d’invalidité s’élèverait à 49,7678 %, arrondi à 50 % (25'325 fr. 26 ÷ 50'886 fr. 78). Quant à la question d’un abattement supplémentaire, on relève que, même à considérer le taux de 20 % réclamé par la recourante dans son écriture du 30 mai 2023, le calcul serait sans incidence sur le droit à la rente. ee) En application des art. 88a al. 2 et 88bis al. 1 let. a RAI, l’augmentation du droit à la rente doit intervenir trois mois après la dégradation de l’état de santé, mais au plus tôt à partir du mois où la demande de révision a été déposée. En l’occurrence, la recourante ayant déposé sa demande de révision le 23 juillet 2021 et l’aggravation de son état de santé étant intervenue à tout le moins le 28 mai 2021 selon le rapport de la Dre L.________ du 16 juin 2021, elle a droit à une demi-rente de l’assurance-invalidité à compter du 1er août 2021, trois mois après la dégradation de l’état de santé (cf. également art. 29 al. 3 LAI). 10. Les pièces médicales au dossier permettent à la Cour de céans de statuer en pleine connaissance de cause. Il y a dès lors lieu de rejeter</w:t>
      </w:r>
    </w:p>
    <w:p>
      <w:r>
        <w:t>- 28 - la requête d’expertise par appréciation anticipée des preuves. En effet, une telle mesure ne serait pas de nature à modifier les considérations qui précèdent, les faits pertinents ayant pu être constatés à satisfaction de droit (ATF 145 I 167 consid. 4.1 ; 140 I 285 consid. 6.3.1 ; 130 II 425 consid. 2.1). 11. a) En définitive, le recours doit être admis et la décision attaquée réformée en ce sens que la recourante a droit à une demi-rente de l’assurance invalidité dès le 1er août 2021. b)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c) La partie recourante obtient gain de cause et a droit à une indemnité de dépens à titre de participation aux honoraires de son conseil (art. 61 let. g LPGA). Après examen de la liste des opérations produite le 7 février 2024, il convient d’arrêter cette indemnité à 3'600 fr., débours et TVA compris (art. 10 et 11 TFJDA [tarif du 28 avril 2015 des frais judiciaires et des dépens en matière administrative ; BLV 173.36.5.1]), et de la mettre à la charge de la partie intimée. La partie recourante est au bénéfice de l’assistance judiciaire. Le montant des dépens arrêté ci-avant correspond au moins à ce qui aurait été alloué à titre d’indemnité pour le mandat d’office. Il n’y a donc pas lieu, en l’état tout au moins, de fixer plus précisément cette indemnité (art. 4 RAJ [règlement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