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ZD23.003178 vom 14. September 2023</w:t>
      </w:r>
    </w:p>
    <w:p>
      <w:r>
        <w:t>VD Tribunal cantonal, 2023-09-14, FR</w:t>
      </w:r>
    </w:p>
    <w:p>
      <w:r>
        <w:rPr>
          <w:b/>
        </w:rPr>
        <w:t xml:space="preserve">Quelle: </w:t>
      </w:r>
      <w:r>
        <w:t>https://mcp.opencaselaw.ch/entscheid/vd_gerichte_ZD23.003178</w:t>
      </w:r>
    </w:p>
    <w:p>
      <w:r>
        <w:t>FR: VD_GERICHTE ZD23.003178 du 14 septembre 2023</w:t>
      </w:r>
    </w:p>
    <w:p>
      <w:r>
        <w:t>IT: VD_GERICHTE ZD23.003178 del 14 settembre 2023</w:t>
      </w:r>
    </w:p>
    <w:p>
      <w:pPr>
        <w:pStyle w:val="Heading2"/>
      </w:pPr>
      <w:r>
        <w:t>Erwägungen</w:t>
      </w:r>
    </w:p>
    <w:p>
      <w:r>
        <w:rPr>
          <w:b/>
        </w:rPr>
        <w:t>E. 8</w:t>
      </w:r>
    </w:p>
    <w:p>
      <w:r>
        <w:t>décembre 2022, fait suite à une demande de prestations déposée au mois de janvier 2020 en raison d’une incapacité de travail résultant d’un accident survenu au mois de juillet 2019. Un éventuel droit à la rente prendrait ainsi naissance au terme du délai de carence d’une année – soit avant le 1er janvier 2022 – de sorte que les dispositions de la LAI et du RAI</w:t>
      </w:r>
    </w:p>
    <w:p>
      <w:r>
        <w:t>- 18 - dans leur teneur en vigueur jusqu’au 31 décembre 2021 sont applicables à la résolution du présent litige.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w:t>
      </w:r>
    </w:p>
    <w:p>
      <w:r>
        <w:t>- 19 -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- 20 -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S’agissant en particulier des affections psychiques, des affections psychosomatiques et des syndromes de dépendance à des substances psychotropes, ceux-ci doivent en principe faire l’objet d’une procédure probatoire structurée (ATF 145 V 215 ; 143 V 418 consid. 6 et 7 ; 141 V 281 et les références citées). Il convient en premier lieu que l’atteinte soit diagnostiquée selon les règles de l’art (ATF 141 V 281 consid. 2.1.2 et 2.2). Une fois le diagnostic posé, son caractère invalidant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Selon l’art.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w:t>
      </w:r>
    </w:p>
    <w:p>
      <w:r>
        <w:t>- 21 - ni sa désignation comme rapport ou comme expertise, mais bel et bien son contenu (ATF 134 V 231 consid. 5.1 ; 125 V 351 consid. 3a ; TF 8C_510/2020 du 15 avril 2021 consid. 2.4).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En ce qui concerne l’évaluation médicale effectuée par un SMR au sens de l’art. 59 al. 2bis LAI, en corrélation avec l’art. 49 al. 1 RAI, qui est établie sans que le médecin n’examine l’assuré, elle ne contient aucune observation clinique. Un tel avis a ainsi seulement pour fonction d’opérer la synthèse des renseignements médicaux recueillis, de prendre position à leur sujet et de prodiguer des recommandations quant à la suite à donner au dossier sur le plan médical (ATF 142 V 58 consid. 5.1 ; arrêt 8C_756/2008 du 4 juin 2009 consid. 4.4 in SVR 2009 IV n° 50 p. 153).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5.1 ; 135 V 465 consid. 4.4 et 4.6 ; arrêt 9C_25/2015 du 1er mai 2015 consid. 4.2). 6. a) Le recourant s’est annoncé à une seconde reprise à l’assurance-invalidité le 9 janvier 2020. Il est constant que la dernière décision entrée en force ayant donné lieu à une instruction complète est</w:t>
      </w:r>
    </w:p>
    <w:p>
      <w:r>
        <w:t>- 22 - celle du 25 octobre 2007, par laquelle l’intimé a octroyé au recourant une rente entière limitée dans le temps du 1er juin 2002 au 31 octobre 2003, justifiée des suites de l’accident de football survenu le 24 juin 2001 et ayant entraîné des atteintes au genou gauche. b) Dans le cadre de sa nouvelle demande de prestations déposée le 9 janvier 2020, objet du présent recours, le recourant reproche à l’intimé de n’avoir pris en compte que les atteintes post-traumatiques examinées par la CNA en relation avec l’accident du 18 juillet 2019, à l’exclusion des autres atteintes somatiques et psychiques, lesquelles justifieraient un examen sous l’angle des indicateurs pertinents. L’intimé conteste ce point de vue et soutient que l’ensemble des atteintes à la santé somatiques ont été prises en considération dans le cadre de son instruction. Il précise que, sur le plan psychiatrique, aucun médecin ayant examiné l’assuré n’a retenu un diagnostic psychiatrique, si bien qu’il n’y avait pas lieu de compléter l’instruction. 7. En l’espèce, il est constant que le recourant ne dispose plus d’une capacité de travail dans son activité habituelle de machiniste en raison à tout le moins de l’épicondylite depuis le 18 juillet 2019, date du deuxième accident (rapport du 29 juin 2020 du Dr N.________ ; rapport du 14 janvier 2022 de la D.________, p. 6 ; avis SMR du 4 février 2022). Toutefois, se fondant sur le dossier constitué par la CNA et sur les rapports émanant des médecins consultés par le recourant, l’intimé a retenu une capacité de travail entière dans une activité adaptée aux limitations fonctionnelles présentées par le recourant. Celles-ci sont les suivantes (avis SMR des 4 février et 17 août 2022) : pas d’activité répétée et/ou prolongée avec utilisation de la force avec le bras gauche, alternance des positions, activité physiquement non contraignante et légère, maximum de port de charge de 5 kg, pas de marche sur de long trajet et pas de travail avec vibrations constantes. Sur cette base, la REA (Unité « partenaires réadaptation » de l’AI) a décrit l’activité adaptée en question en ces termes (calcul du salaire exigible du 6 avril 2022) : « travail simple et répétitif dans le domaine industriel léger, par exemple montage, contrôle ou surveillance d’un processus de production, ouvrier à</w:t>
      </w:r>
    </w:p>
    <w:p>
      <w:r>
        <w:t>- 23 - l’établi dans des activités simples et légères, ouvrier dans le conditionnement, comme opérateur sur machines conventionnelles (perçage, fraisage, taraudage et autres) ». Contrairement à ce que soutient le recourant, l’intimé a examiné la situation médicale du recourant de manière exhaustive. Certes l’intimé s’est en partie fondé sur le dossier constitué en parallèle par la CNA, lequel contient des rapports médicaux qui dépassent le strict cadre de l’accident du 18 juillet 2019. Il l’a aussi complété avec les pièces médicales obtenues dans le cadre de sa propre instruction. Il a ainsi récolté des renseignements médicaux concernant les autres atteintes au niveau du rachis, du genou et du coude gauches, du système cardio- vasculaire, hépatique et de la sphère psychiatrique. a) Chronologiquement, les premières atteintes examinées par l’intimé sont les séquelles de l’accident du 24 juin 2001. Dans le cadre de la première décision du 25 octobre 2007, le Dr B.________ avait retenu que l’activité habituelle de machiniste n’était plus exigible qu’à 20 % en raison des limitations fonctionnelles (pas de stations assise prolongée de plus de deux heures, pas de mouvements en porte-à-faux avec long bras de levier répétitif, pas de port de lourdes charges au-dessus de 5 kg et pas de longs trajets de plus de 1/2 heure à plat ; rapport d’expertise du 24 novembre 2006, p. 13), recommandant une réinsertion dans une activité adaptée. Cette position était aussi suivie par la CNA (appréciation médicale du 8 juillet 2003 du Dr E.________, p. 3). Le 30 août 2017, le Prof. I.________ a observé que l’IRM du genou gauche qu’il avait commandée ne montrait qu’une tendinopathie rotulienne pouvant expliquer en partie les douleurs en particulier à la charge en flexion. Malgré les atteintes au genou gauche et après le suivi auprès du Prof. I.________, on observe que le recourant a repris son activité habituelle de machiniste pour L.________ depuis le 3 avril 2018 malgré l’atteinte au niveau de l’articulation du genou.</w:t>
      </w:r>
    </w:p>
    <w:p>
      <w:r>
        <w:t>- 24 - Le genou gauche a ensuite fait l’objet d’un examen clinique et de radiographies par la D.________ dans le cadre de son appréciation de la situation globale (rapport du 14 janvier 2022, p. 3 et radiographies du 30 novembre 2021), laquelle a retenu un diagnostic de gonalgies chroniques depuis 2002 avec deux arthroscopies les 20 juillet 2001 et 15 février 2002 et une complication sous la forme d’un SDRC du genou gauche développé en 2002. Dans le cadre de la consultation spécialisée de l’appareil locomoteur réalisée à la D.________, le Dr ZC.________ n’a rien relevé de particulier concernant les gonalgies dans un examen essentiellement consacré au rachis (rapport du 6 décembre 2021 du Dr ZC.________). Dans son rapport du 26 novembre 2021, l’orthopédiste de la D.________, le Dr ZD.________, n’a pas retenu de diagnostic particulier, mais noté une kinésiophobie très importante, et relevé de fortes discordances entre l’examen clinique et le comportement du recourant à sa consultation, celui-ci présentant à l’habillage des amplitudes articulaires complètes au niveau du genou, sous réserve d’une flexion complète du genou difficile à évaluer. Aucun élément du dossier ne permet de conclure que les atteintes aux genoux ont évolué au point de restreindre la capacité de travail du recourant dans une activité adaptée telle que décrite par l’intimée. b) En ce qui concerne le rachis, le recourant présentait, à l’époque où il avait été examiné par le Dr B.________, des lombalgies communes sans signe radiculaire irritatif ou déficitaire dans un contexte de minime trouble statique, cependant sans discopathie sous-jacente (rapport d’expertise du 24 novembre 2006, p. 12), lesquelles se répercutaient déjà sur la capacité de travail (ibid, p. 11). Le recourant a ensuite bénéficié de nombreux examens radiologiques, lesquels n’ont cependant pas permis d’identifier un substrat organique permettant d’expliquer l’intensité de ses plaintes. Ainsi, l’IRM lombaire du 4 décembre 2014 révélait des discopathies pluri-étagées avec des disques légèrement amincis présentant une certaine déshydratation avec diminution de signal en T2 et quelques irrégularités des plateaux vertébraux évoquant des séquelles</w:t>
      </w:r>
    </w:p>
    <w:p>
      <w:r>
        <w:t>- 25 - d’une maladie de Scheuermann d’expression modérée. Il n’y avait pas de rétrécissement canalaire ou foraminal ni de conflit disco-radiculaire et en particulier avec les racines sciatiques gauches. Le recourant a ensuite bénéficié d’une scintigraphie osseuse effectuée le 15 mai 2018, laquelle ne montrait pas de signe inflammatoire péri-lombaire, sacro-iliaque ou coxofémoral pouvant expliquer les douleurs para-spinales gauches. L’IRM du 18 août 2020 confirmait des séquelles de la maladie de Scheuermann au niveau dorsal inférieur et lombaire supérieur, quelques protrusions discales sans hernie, une arthrose facettaire, mais sans tassement vertébral, ni canal lombaire étroit ou conflit discoradiculaire. L’IRM lombaire du 17 février 2021 faisait état d’une importante atteinte inflammatoire interépineuse de L1 à L5 particulièrement marquée au niveau L2-L3, d’un remaniement dégénératif avec un aspect inflammatoire en arrière des corps vertébraux L2-L3 du côté droit avec probable extension vers le trou de conjugaison, lequel était modérément réduit, ce qui pouvait expliquer une irritation de la racine L2 sans que l’on visualise un conflit radiculaire. La radiologue avait également mentionné une surcharge des articulations facettaires postérieures avec une réaction inflammatoire des parties molles en regard au niveau des deux derniers étages lombaires. Dans le cadre de la consultation spécialisée de l’appareil locomoteur réalisée à la CRR, laquelle dépasse le strict cadre de l’accident du 18 juillet 2019, le Dr ZC.________, a mené un examen clinique complet axé sur les atteintes au rachis marqué par un comportement douloureux et d’importants signes de non-organicité (« Signes et symptômes de Waddell : 4/5 »). Ce spécialiste a conclu que les lombalgies étaient possiblement en lien avec un certain déconditionnement et quelques troubles dégénératifs lombaires, sans toutefois qu’une atteinte spécifique puisse être identifiée. Au final, le Dr ZC.________ admet des limitations fonctionnelles concernant le port de charges moyennes répété et le maintien prolongé d’une position en porte-à-faux du tronc (rapport du 6 décembre 2021 du Dr ZC.________), lesquelles sont compatibles avec les activités adaptées décrites par la REA.</w:t>
      </w:r>
    </w:p>
    <w:p>
      <w:r>
        <w:t>- 26 - Par la suite, dans un rapport du 30 mai 2022 à l’attention de la CNA, la Dre ZB.________ a passé en revue la situation du recourant au niveau du rachis. Elle a indiqué que les bilans radiologiques avaient toujours montré des discopathies lombaires pluri-étagées associées à un état inflammatoire assez étendu en interépineux et en L5-S1, sans avoir pour autant permis d’identifier des hernies discales ou des compressions radiculaires. Considérant qu’il était très difficile de maintenir le recourant dans son activité habituelle de machiniste, elle a préconisé une reconversion professionnelle pour tenir compte des limitations fonctionnelles (maximum de ports de charges répétés de 5 kg, nécessité d’éviter des activités en position assise ou debout prolongée, impossibilité de marcher sur de longs trajets et de travailler avec des vibrations constantes) sans toutefois se prononcer sur le taux d’activité à envisager. On constate que le Dr ZA.________ du SMR a dûment tenu compte de l’avis de cette spécialiste retenant finalement les limitations fonctionnelles qu’elle énonçait, plus étendues que celles initialement posées par ses soins (avis SMR du 17 août 2022). A cet égard, aucune des limitations fonctionnelles énoncées par la Dre ZB.________ ne restreint l’exercice de l’activité adaptée décrite par la REA qui s’est prononcée dans un rapport complémentaire du 2 juin 2022. c) Sur le plan cardiovasculaire, l’assuré a bénéficié d’un suivi à la suite de l’annulo-valvuloplastie mitrale réalisée le 18 décembre 2013 en raison d’une insuffisance mitrale sévère. L’examen du 7 septembre 2017 réalisé par le Dr J.________ était rassurant. L’évolution du point de vue cardiologique était restée simple et le status clinique montrait des valeurs tensionnelles normales. Le spécialiste a constaté une excellente évolution après reconstruction de la valve mitrale et une capacité de travail de 100 % sans aucune restriction du point de vue cardiologique (rapport du</w:t>
      </w:r>
    </w:p>
    <w:p>
      <w:r>
        <w:rPr>
          <w:b/>
        </w:rPr>
        <w:t>E. 9</w:t>
      </w:r>
    </w:p>
    <w:p>
      <w:r>
        <w:t>Le recourant demande à titre subsidiaire à pouvoir être mis au bénéfice de mesures professionnelles.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w:t>
      </w:r>
    </w:p>
    <w:p>
      <w:r>
        <w:t>- 34 -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b) En l’occurrence, le recourant présente un degré d’invalidité de 20 %, de sorte qu’il convient d’examiner son droit à des mesures de réadaptation. On rappelle que les limitations fonctionnelles retenues sont les suivantes : pas port de charges répétitif et/ou prolongé de plus de 5 kg ; pas d’activité répétée et/ou prolongée avec utilisation de la force avec le bras gauche ; alternance des positions ; pas de marche sur de long trajet et pas de travail avec vibrations constantes (cf. avis SMR du 17 août 2022). On ne saurait y voir une quelconque restriction à la reprise d’une activité adaptée, à savoir d’une activité physiquement non contraignante et légère. La Cour de céans peut dès lors se rallier au point de vue de l’OAI selon lequel le type d’activité qui pourrait être réalisé est un travail simple et répétitif dans le domaine industriel léger (montage, contrôle ou surveillance d’un processus de production, ouvrier à l’établi dans des activités simples et légères, ainsi qu’ouvrier dans le conditionnement ; cf. calcul du salaire exigible du 6 avril 2022). Ces activités ne nécessitent pas de formation particulière et aucune mesure ne permettrait de réduire le manque à gagner durable de 20 % au vu du profil professionnel de l’intéressé. La reprise de l’activité habituelle n’étant pas exigible selon les experts, une aide au placement a été octroyée (communication du 15 août 2022) et refusée par le recourant (courrier du 22 août 2022 et notice d’entretien téléphonique du 4 octobre 2022). On rappelle aussi que le recourant a bénéficié de mesures d’intervention</w:t>
      </w:r>
    </w:p>
    <w:p>
      <w:r>
        <w:t>- 35 - précoce mises en œuvre auprès d’O.________ du 23 mars 2020 au</w:t>
      </w:r>
    </w:p>
    <w:p>
      <w:r>
        <w:rPr>
          <w:b/>
        </w:rPr>
        <w:t>E. 11</w:t>
      </w:r>
    </w:p>
    <w:p>
      <w:r>
        <w:t>septembre 2020. Ce partenaire a cependant décidé de ne pas mettre en œuvre la phase 2 des mesures, motifs pris que l’état de santé du recourant n’était pas stabilisé et qu’aucune piste professionnelle n’était ouverte. S’agissant de la mise en œuvre de mesures d’ordre professionnel, on ne voit pas quelle autre mesure aurait pu être proposée au recourant sachant qu’il ne dispose d’aucune formation de base et que l’exercice d’une activité adaptée, soit une activité simple et légère respectant ses limitations fonctionnelles, ne nécessite aucune formation particulière. 10. 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