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ZD23.002883 vom 9. Oktober 2023</w:t>
      </w:r>
    </w:p>
    <w:p>
      <w:r>
        <w:t>VD Tribunal cantonal, 2023-10-09, FR</w:t>
      </w:r>
    </w:p>
    <w:p>
      <w:r>
        <w:rPr>
          <w:b/>
        </w:rPr>
        <w:t xml:space="preserve">Quelle: </w:t>
      </w:r>
      <w:r>
        <w:t>https://mcp.opencaselaw.ch/entscheid/vd_gerichte_ZD23.002883</w:t>
      </w:r>
    </w:p>
    <w:p>
      <w:r>
        <w:t>FR: VD_GERICHTE ZD23.002883 du 9 octobre 2023</w:t>
      </w:r>
    </w:p>
    <w:p>
      <w:r>
        <w:t>IT: VD_GERICHTE ZD23.002883 del 9 ottobre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de fin d’année (art. 38 al. 4 let. c et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la recourante présente, en raison de son atteinte à la santé, un degré d’invalidité susceptible de lui ouvrir le droit à une rente de l’assurance-invalidité. Il convient plus précisément d’examiner les critiques portant sur la façon dont le statut (part active/part ménagère) de la recourante a été fixé puis</w:t>
      </w:r>
    </w:p>
    <w:p>
      <w:r>
        <w:t>- 11 - celles relatives aux conclusions du rapport d’enquête économique sur le ménage.</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compte tenu du fait que le droit à la rente d’invalidité pourrait débuter le 1er février 2021, soit six mois après le dépôt de la demande de prestations.</w:t>
      </w:r>
    </w:p>
    <w:p>
      <w:r>
        <w:rPr>
          <w:b/>
        </w:rPr>
        <w:t>E. 4</w:t>
      </w:r>
    </w:p>
    <w:p>
      <w:r>
        <w:t>al. 1 LAI). Est réputée incapacité de gain toute diminution de l’ensemble ou d’une partie des possibilités de gain de l’assuré sur un marché du travail équilibré dans son domaine,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D’après l’art. 28 al. 1 LAI, toute personne assurée a droit à une rente si sa capacité de gain ou sa capacité d’accomplir ses travaux habituels ne peut pas être rétablie, maintenue ou améliorée par des mesures de réadaptation raisonnablement exigibles (let. a), si elle a présenté une incapacité de travail d’au moins 40 % en moyenne durant</w:t>
      </w:r>
    </w:p>
    <w:p>
      <w:r>
        <w:t>- 12 - une année sans interruption notable (let. b) et si, au terme de cette année, elle est invalide à 40 % au moins (let. c). Selon l’art. 28 al. 2 LAI (dans sa teneur en vigueur au 31 décembre 2021), un degré d’invalidité de 40 % au moins donne droit à un quart de rente, un degré d’invalidité de 50 % au moins donne droit à une demi-rente, un degré d’invalidité de 60 % au moins donne droit à trois quarts de rente et un degré d’invalidité de 70 % au moins donne droit à une rente entière.</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w:t>
      </w:r>
    </w:p>
    <w:p>
      <w:r>
        <w:t>- 13 - b)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[règlement du 17 janvier 1961 sur l’assurance-invalidité ; RS 831.201]).</w:t>
      </w:r>
    </w:p>
    <w:p>
      <w:r>
        <w:rPr>
          <w:b/>
        </w:rPr>
        <w:t>E. 6</w:t>
      </w:r>
    </w:p>
    <w:p>
      <w:r>
        <w:t>a)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w:t>
      </w:r>
    </w:p>
    <w:p>
      <w:r>
        <w:t>- 14 -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S’agissant de la prise en compte de l’empêchement dans le ménage dû à l’invalidité, singulièrement de l’aide des membres de la famille (obligation de diminuer le dommage), il est admis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w:t>
      </w:r>
    </w:p>
    <w:p>
      <w:r>
        <w:t>- 15 - partielle correspondante (ATF 133 V 504 consid. 4.2 et les références citées ; TF 9C_785/2014 du 30 septembre 2015 consid. 3.3). La jurisprudence ne pose pas de grandeur limite au-delà de laquelle l’aide des membres de la famille ne serait plus possible (TF 9C_716/2012 du 11 avril 2012 consid. 4.4). Elle pose comme critère que l’aide ne saurait constituer une charge excessive du seul fait qu’elle va au-delà du soutien que l’on peut attendre de manière habituelle sans atteinte à la santé (ATF 133 V 504 consid. 4.2 ; 130 V 97 consid. 3.3.3 et les références).</w:t>
      </w:r>
    </w:p>
    <w:p>
      <w:r>
        <w:rPr>
          <w:b/>
        </w:rPr>
        <w:t>E. 7</w:t>
      </w:r>
    </w:p>
    <w:p>
      <w:r>
        <w:t>En l’occurrence, n’est pas controversée l’incapacité de travail totale de la recourante dans l’activité professionnelle – que ce soit dans l’activité habituelle ou dans une activité adaptée à ses limitations fonctionnelles –, de même que la détérioration effective et durable, sous l’angle médical, de son état de santé physique et psychique. Confirmés au surplus par le dossier de la cause, il n’y a pas lieu pour la Cour de céans de revenir sur ces aspects, qui doivent donc être considérés comme étant établis. a) La recourante fait valoir que les experts ne se sont pas prononcés « de manière définitive » sur le début de l’incapacité de travail, dès lors qu’il existe une divergence sur ce point entre l’expertise psychiatrique – qui retient une incapacité totale de travail depuis au moins 2017 – et l’expertise de médecine interne – qui fixe au mois de septembre 2019 le début de dite incapacité. Au terme de leur consilium interdisciplinaire, les experts ont retenu que la capacité de travail de la recourante était nulle en toute activité à compter du mois de novembre 2017. Cette date correspond au début des investigations médicales ayant conduit à poser les diagnostics de cirrhose hépatique et de syndrome de dépendance à l’alcool avec troubles cognitifs sévères sur encéphalopathie chronique sévère. En septembre 2019, l’état de santé de l’assurée s’est aggravé, ce qui a nécessité son admission à l’Hôpital de N.________ avant son transfert aux soins intensifs, le 22 septembre suivant, dans le cadre de crises comitiales secondaires à des troubles électrolytiques et un possible sevrage aux</w:t>
      </w:r>
    </w:p>
    <w:p>
      <w:r>
        <w:t>- 16 - benzodiazépines. Durant ce séjour, une insuffisance rénale sévère a été découverte, possiblement sur une glomérulonéphrite (complication de la cirrhose hépatique). Dès cette date, des mesures thérapeutiques accompagnées d’un encadrement ont été mises en place afin de maintenir l’assurée à domicile. Certes, la Dre V.________ a estimé que la capacité de travail était nulle à compter du mois de septembre 2019 (cf. rapport d’expertise du 9 mars 2022, p. 33). Toutefois, comme elle l’écrit elle- même, cette date correspond à une aggravation de l’état de santé de la recourante. Or, sur le plan consensuel, les experts ont considéré que les diagnostics retenus en novembre 2017 étaient suffisamment sévères pour être à l’origine d’une incapacité totale de travail, si bien qu’ils ont fixé le début à cette date. Outre que, comme le relève à juste titre l’office intimé, cette divergence est sans effet sur la question du statut de la recourante, on ne voit aucun motif de s’écarter de la date du mois de novembre 2017 à compter de laquelle la capacité de travail de cette dernière est nulle en toute activité. Il y a dès lors lieu de la confirmer. b) Bien qu’une enquête ménagère constitue en règle générale une base appropriée et suffisante pour évaluer les empêchements dans l’accomplissement des travaux habituels, il peut néanmoins exister des circonstances objectives jetant le doute sur la valeur probante d’un tel rapport. aa) L’enquêtrice, après avoir posé les atteintes à la santé, fonde pour l’essentiel ses conclusions sur les dires de l’intéressée, retenant en résumé que si elle ne peut pas accomplir les lourdes tâches ménagères, elle peut s’occuper de petites tâches et bénéficier au surplus de l’aide exigible de son époux et de celle des services sociaux. Or, à la lecture de l’expertise du Centre d'expertise X.________, il est clairement mis en avant l’anosognosie dont la recourante est atteinte. Devant les experts, elle soutient qu’elle n’éprouve aucune difficulté (rapport d’expertise du 9 mars 2022, p. 13), niant même une</w:t>
      </w:r>
    </w:p>
    <w:p>
      <w:r>
        <w:t>- 17 - consommation continue et massive d’alcool (ibidem, p. 20), et qu’elle peut gérer, à sa façon et à satisfaction, la plupart des tâches quotidiennes. Les experts exposent au contraire les incohérences des propos de l’assurée – en rendant compte de la gravité des troubles liés à l’usage de l’alcool, des altérations cognitives majeures et des atteintes somatiques et neurologiques massives – pour retenir l’impact des atteintes invalidantes dans tous les domaines de la vie, singulièrement l’absence d’autonomie dans les tâches quotidiennes. Ces éléments sont du reste confirmés par Madame E.________, qui a rendu les experts tout comme l’enquêtrice, attentifs au fait que l’absence alléguée de difficultés est un leurre, notamment s’agissant de l’alimentation (très faible) et de l’état très précaire de la tenue du ménage. bb) A cela s’ajoute que, hormis un appel téléphonique de l’enquêtrice à l’époux de la recourante pour avoir des informations sur le budget et la situation financière du couple, il n'est pas possible de connaître avec précision tous les travaux ménagers mis à la charge du mari de l'assurée et donc de déterminer s'ils doivent être considérés comme admissibles pour lui compte tenu de la situation professionnelle et familiale. En effet, l’enquêtrice n’a pas intégré dans la discussion la situation personnelle du conjoint vivant dans le ménage. Elle a constaté que l'assurée vit avec son époux qui exerce une activité salariée en tant qu’ouvrier. On ignore cependant le temps consacré par le mari de l’assurée aux tâches ménagères que celle-ci n’est plus en mesure d’effectuer. cc) Finalement, on s’étonne de la distinction opérée par l’enquêtrice entre la situation prévalant avant le mois de février 2021 – c’est-à-dire six mois après le dépôt de la demande de prestations – et celle existant au moment de l’enquête. Dans la mesure où le présent litige ne s’inscrit pas dans le cadre d’une procédure de révision, il n’y a pas lieu de comparer la situation à des époques différentes mais bien plutôt de rendre compte des empêchements ménagers à la date de l’enquête.</w:t>
      </w:r>
    </w:p>
    <w:p>
      <w:r>
        <w:t>- 18 - dd) Au vu de ces éléments, il convient de retenir que le rapport d’enquête ménagère du 22 août 2022 est dépourvu de valeur probante, en tant qu’il ne prend pas suffisamment en considération les limitations fonctionnelles dues en particulier aux troubles cognitifs de la recourante dans l’évaluation des empêchements ménagers. Or, en cas de divergences entre les résultats de l'enquête à domicile et les constatations d'ordre médical, celles-ci ont, en général, plus de poids (cf. TF 9C_512/2010 du 14 avril 2011 consid. 2.2.2 et les références citées) ; cette priorité de principe est justifiée par le fait qu'il est souvent difficile pour la personne chargée de l'enquête de reconnaître et d'apprécier l'ampleur de l'atteinte psychique et des empêchements qui en résultent (cf. TFA I 733/03 du 6 avril 2004 consid. 5.1.3). De surcroît, le rapport d’enquête à domicile ne permet pas de déterminer le nombre d'heures que le mari de la recourante est susceptible de consacrer aux activités ménagères mises à sa charge au titre de l'aide exigible, en tenant compte des seuls empêchements de la recourante découlant d'une atteinte à la santé incapacitante. c) Se pose, par surabondance, la question de savoir si les éléments au dossier permettent de statuer en connaissance de cause sur le droit aux prestations. Tel n’est pas le cas. En effet, alors que le rapport d’enquête ménagère mentionne que Madame E.________ se charge du suivi de l’assurée depuis 2003, on ignore dans quelles circonstances s’est déroulée l’intervention de cette thérapeute, hormis le fait qu’elle résulte d’une demande du Dr U.________, médecin traitant (cf. rapport d’expertise du 9 mars 2022, p. 13). Il incombe dès lors à l’office intimé de recueillir le dossier médical constitué auprès de ce médecin, de même qu’il apparaît opportun de prendre contact avec la Fondation H.________ au sein de laquelle œuvre Madame E.________ afin de disposer d’un maximum d’informations sur le suivi médical de l’assurée entre 2003, date du début du soutien dispensé à cette dernière et novembre 2017, date à laquelle a été attestée une incapacité totale de travail. Les renseignements récoltés</w:t>
      </w:r>
    </w:p>
    <w:p>
      <w:r>
        <w:t>- 19 - permettront ainsi de connaître l’évolution de la capacité de travail durant cette période (2003-2017) et, par voie de conséquence, de réexaminer sur cette base la question du statut de l’assurée, dès lors qu’il n’est pas exclu que le taux d’activité réduit de la recourante soit dû à des atteintes à la santé antérieures à 2017. d) Nonobstant ce qui précède, si l’on se fondait sur les taux d’empêchements ménagers tels que retenus par la Dre V.________ en p. 36 du rapport d’expertise du 9 mars 2022, le droit à une rente d’invalidité serait ouvert. En effet, elle a retenu un empêchement de 50 % concernant l’alimentation, de 30 % concernant l’entretien du logement et la garde des animaux domestiques, de 90 % concernant les achats et de 10 % concernant la lessive et l’entretien des vêtements. Rapportés à la pondération retenue par l’enquêtrice, le degré d’invalidité s’élèverait à 20 % pour l’alimentation (50 % x 40 %), à 9 % pour l’entretien du logement et la garde des animaux domestiques (30 % x 30 %), à 9 % pour les achats et courses diverses (90 % x 10 %) et à 1,5 % pour la lessive et l’entretien des vêtements (10 % x 15 %). Enfin, la Dre V.________ n’a pas retenu d’empêchement en lien avec le soin aux enfants ou à d’autres membres de la famille. En tout état de cause, il en découle – indépendamment de la question du statut – un degré d’invalidité de 40 % (le taux de 39,5 % étant arrondi au pour cent supérieur [ATF 130 V 121 consid. 3.2; SVR 2004 UV n° 12 p. 44]). e) Sur le vu de ce qui précède, l’enquête ménagère réalisée le 17 août 2022 ne constitue pas une base fiable à laquelle l’office AI pouvait valablement se référer pour nier le droit de la recourante à une rente d’invalidité. Par conséquent, il appartiendra à l’intimé de confier à une nouvelle enquêtrice la tâche d’évaluer de manière complète l’ensemble des empêchements que la recourante rencontre encore dans ses activités habituelles compte tenu de la situation familiale et des renseignements médicaux recueillis, puis de rendre une nouvelle décision statuant sur les prétentions de la recourante.</w:t>
      </w:r>
    </w:p>
    <w:p>
      <w:r>
        <w:t>- 20 -</w:t>
      </w:r>
    </w:p>
    <w:p>
      <w:r>
        <w:rPr>
          <w:b/>
        </w:rPr>
        <w:t>E. 8</w:t>
      </w:r>
    </w:p>
    <w:p>
      <w:r>
        <w:t>Compte tenu de l’issue du litige, il n’y a pas lieu de donner suite à la requête d’expertise judiciaire formulée par l’assurée dans son mémoire de réplique du 5 mai 2023.</w:t>
      </w:r>
    </w:p>
    <w:p>
      <w:r>
        <w:rPr>
          <w:b/>
        </w:rPr>
        <w:t>E. 9</w:t>
      </w:r>
    </w:p>
    <w:p>
      <w:r>
        <w:t>En définitive, le recours doit être admis et la décision attaquée annulée, la cause étant renvoyée à l’office AI pour complément d’instruction au sens des considérants puis nouvelle décision.</w:t>
      </w:r>
    </w:p>
    <w:p>
      <w:r>
        <w:rPr>
          <w:b/>
        </w:rPr>
        <w:t>E. 10</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