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ZD23.002876 vom 16. Mai 2024</w:t>
      </w:r>
    </w:p>
    <w:p>
      <w:r>
        <w:t>VD Tribunal cantonal, 2024-05-16, FR</w:t>
      </w:r>
    </w:p>
    <w:p>
      <w:r>
        <w:rPr>
          <w:b/>
        </w:rPr>
        <w:t xml:space="preserve">Quelle: </w:t>
      </w:r>
      <w:r>
        <w:t>https://mcp.opencaselaw.ch/entscheid/vd_gerichte_ZD23.002876</w:t>
      </w:r>
    </w:p>
    <w:p>
      <w:r>
        <w:t>FR: VD_GERICHTE ZD23.002876 du 16 mai 2024</w:t>
      </w:r>
    </w:p>
    <w:p>
      <w:r>
        <w:t>IT: VD_GERICHTE ZD23.002876 del 16 maggio 2024</w:t>
      </w:r>
    </w:p>
    <w:p>
      <w:pPr>
        <w:pStyle w:val="Heading2"/>
      </w:pPr>
      <w:r>
        <w:t>Erwägungen</w:t>
      </w:r>
    </w:p>
    <w:p>
      <w:r>
        <w:rPr>
          <w:b/>
        </w:rPr>
        <w:t>E. 4</w:t>
      </w:r>
    </w:p>
    <w:p>
      <w:r>
        <w:t>a) Il convient d’examiner si c’est à juste titre que l’intimé a retenu dans la décision attaquée que le taux d’invalidité de la recourante était de 23.67 %. b) Pour ce faire, il sied en premier lieu d’établir la capacité de travail de la recourante. aa)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w:t>
      </w:r>
    </w:p>
    <w:p>
      <w:r>
        <w:t>- 14 - la question de savoir quelle activité peut encore être raisonnablement exigée de la part de la personne assurée (ATF 132 V 93 consid. 4 et les références citées ; TF 8C_160/2016 du 2 mars 2017 consid. 4.1 ; TF 8C_862/2008 du 19 août 2009 consid. 4.2). cc)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En l’espèce, l’intimé a retenu qu’à la fin des mesures de réadaptation professionnelle, soit le 1er novembre 2021, la capacité de travail de la recourante était nulle dans son activité habituelle et de 80 % dans une activité adaptée, tenant compte d’une résistance au stress légèrement diminuée. Cela n’est pas contesté par la recourante. La capacité de travail retenue par l’intimé ressort du dernier rapport médical au dossier de la Dre Q.________, psychiatre traitante de l’assurée, daté du</w:t>
      </w:r>
    </w:p>
    <w:p>
      <w:r>
        <w:rPr>
          <w:b/>
        </w:rPr>
        <w:t>E. 7</w:t>
      </w:r>
    </w:p>
    <w:p>
      <w:r>
        <w:t>a) En définitive, le recours doit être admis et la décision litigieuse réformée en ce sens que l’intimé prendra en charge les frais du CAS de Spécialiste [...]. Cette décision est confirmée pour le surplus. b) La procédure de recours en matière de contestations portant sur l’octroi ou le refus de prestations de l’assurance-invalidité est soumise à des frais de justice (art. 69 al. 1bis LAI). Il convient de les fixer à 600 fr. et de les porter à la charge de la partie intimée, vu l’issue du litige.</w:t>
      </w:r>
    </w:p>
    <w:p>
      <w:r>
        <w:t>- 23 - c) En conséquence, la requête d’assistance judiciaire de la recourante, limitée aux frais de justice, est sans objet. d)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