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ZD23.002643 vom 18. April 2024</w:t>
      </w:r>
    </w:p>
    <w:p>
      <w:r>
        <w:t>VD Tribunal cantonal, 2024-04-18, FR</w:t>
      </w:r>
    </w:p>
    <w:p>
      <w:r>
        <w:rPr>
          <w:b/>
        </w:rPr>
        <w:t xml:space="preserve">Quelle: </w:t>
      </w:r>
      <w:r>
        <w:t>https://mcp.opencaselaw.ch/entscheid/vd_gerichte_ZD23.002643</w:t>
      </w:r>
    </w:p>
    <w:p>
      <w:r>
        <w:t>FR: VD_GERICHTE ZD23.002643 du 18 avril 2024</w:t>
      </w:r>
    </w:p>
    <w:p>
      <w:r>
        <w:t>IT: VD_GERICHTE ZD23.002643 del 18 aprile 2024</w:t>
      </w:r>
    </w:p>
    <w:p>
      <w:pPr>
        <w:pStyle w:val="Heading2"/>
      </w:pPr>
      <w:r>
        <w:t>Erwägungen</w:t>
      </w:r>
    </w:p>
    <w:p>
      <w:r>
        <w:rPr>
          <w:b/>
        </w:rPr>
        <w:t>E. 16</w:t>
      </w:r>
    </w:p>
    <w:p>
      <w:r>
        <w:t>juillet 2020. Demeurent en revanche litigieuses l’amélioration de la capacité de travail retenue à compter de janvier 2021 à hauteur de 50 % et l’aggravation de l’état de santé alléguée par la recourante dès l’été 2022. Se pose également la question du statut de la recourante et de la méthode d’évaluation de l’invalidité applicable à son cas, soit la question d’un éventuel motif de révision de ce point de vue depuis les précédentes décisions rendues sur le fond le 25 septembre 2019. 6. a) Pour évaluer le taux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w:t>
      </w:r>
    </w:p>
    <w:p>
      <w:r>
        <w:t>- 23 -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c) In casu, les précédentes décisions du 25 septembre 2019 se fondent sur la méthode mixte d’évaluation de l’invalidité, étant donné le statut mixte reconnu à la recourante, laquelle en bonne santé aurait consacré 40 % de son temps aux tâches ménagères et 60 % à l’exercice d’une activité lucrative. L’intimé a fait fi de ce statut pour déterminer le droit à la rente à l’issue de la décision du 6 décembre 2022, en retenant un statut de personne active à plein temps. Il a de facto appliqué la méthode générale de comparaison des revenus, respectivement la méthode d’évaluation en pour-cent (cf. à cet égard : TF 9C_237/2016 du 24 août 2016 consid. 2.2 et références citées), pour déterminer le degré d’invalidité de la recourante, à hauteur de 100 % dès juillet 2020 et de 50 % dès janvier 2021. La recourante a toutefois souligné n’avoir jamais envisagé d’exercer une activité lucrative à plein temps (cf. notamment : écriture de recours du 20 janvier 2023). Quand bien même un statut mixte apparaît défavorable à la recourante, il n’y a pas lieu de douter de ses allégations réitérées en ce sens. On rappelle en effet que la recourante n’a jamais exercé d’activité lucrative à plein temps et que seule la</w:t>
      </w:r>
    </w:p>
    <w:p>
      <w:r>
        <w:t>- 24 - scolarisation de ses enfants avait justifié en son temps une nouvelle répartition des champs d’activités. Cela étant, désormais, les enfants de la recourante sont adultes ; ses deux filles aînées sont indépendantes financièrement ; la situation financière de son époux n’a pas sensiblement évolué. Par conséquent, on ne voit pas de raison de modifier le statut mixte précédemment reconnu à la recourante, singulièrement la répartition des sphères d’activités à concurrence de 60 % du temps dévolu à une activité lucrative et de 40 % consacré au ménage. 8.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(ATF 137 V 334 consid. 4.2 et les références). Par ailleurs,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ATF 131 V 51 consid. 5.1.2). b) Une enquête effectuée au domicile de la personne assurée constitue en règle générale une base appropriée et suffisante pour évaluer les handicaps de celle-ci (ATF 130 V 61 consid. 6 et 128 V 93). En présence de troubles psychiques, et en cas de divergences entre les</w:t>
      </w:r>
    </w:p>
    <w:p>
      <w:r>
        <w:t>- 25 - résultats de l'enquête à domicile et les constatations d'ordre médical, celles-ci ont, en règle générale, plus de poids que l'enquête à domicile. Une telle priorité de principe est justifiée par le fait qu'il est souvent difficile pour la personne chargée de l'enquête à domicile de reconnaître et d'apprécier l'ampleur et l’impact de l'atteinte psychique (TF 9C_925/2013 du 1er avril 2014 consid. 2.2) c) En l’espèce, la reconnaissance d’un statut mixte imposait la mise en œuvre d’une enquête au domicile de la recourante pour fixer à nouveau le taux d’empêchement ménager. A tout le moins, se justifiait-il de solliciter la détermination des experts sur la capacité de la recourante à accomplir les différentes tâches ménagères afin de déterminer son degré d’invalidité global dès le 1er janvier 2021. Cela étant, le rapport d’expertise du D.________ parvient à la conclusion que la situation médicale de la recourante se serait amendée et serait superposable à celle qui régnait à la date des précédentes décisions du 25 septembre 2019. Dès lors, pour autant que cette conclusion puisse être confirmée, on aboutirait, ainsi que le requiert l’intimé, à la reformatio in pejus de la décision du 6 décembre 2022, dans la mesure où l’on ne verrait pas de raison de modifier le degré des empêchements ménagers précédemment retenu (cf. sur la question de la reformatio in pejus : Jean Métral, in : Dupont/Moser-Szeless [éd.], Commentaire romand de la Loi sur la partie générale des assurances sociales, Bâle 2018, n. 77 ad art. 61 LPGA). Toutefois, il convient à ce stade de déterminer si les pièces médicales versées au dossier permettent de se rallier au point de vue de l’intimé. Il s’agit, dans un premier temps, de s’assurer que le rapport d’expertise du D.________ peut se voir conférer une pleine valeur probante et, dans un second temps, d’examiner si l’état de santé de la recourante est effectivement demeuré stationnaire depuis lors en dépit de la péjoration qu’elle allègue dès l’été 2022. 9.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- 26 -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10. a) Les affections psychiques, les affections psychosomatiques et les syndromes de dépendance à des substances psychotropes doivent faire l’objet d’une procédure probatoire structurée (ATF 145 V 215 ; 143 V 418 consid. 6 et 7 ; 141 V 281 et les références citées). b) Il convient en premier lieu que l’atteinte soit diagnostiquée par l’expert selon les règles de l’art (ATF 141 V 281 consid. 2.1.2 et 2.2).</w:t>
      </w:r>
    </w:p>
    <w:p>
      <w:r>
        <w:t>- 27 -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w:t>
      </w:r>
    </w:p>
    <w:p>
      <w:r>
        <w:t>- 28 -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11. a) En l’espèce, la position de l’intimé repose exclusivement sur le rapport d’expertise du D.________ du 12 janvier 2022, lequel ne remplit pas les réquisits exigibles d’une évaluation pluridisciplinaire de ce niveau. Les différents examinateurs ont certes procédé à des investigations minutieuses du cas de la recourante, compte tenu de ses plaintes et en pleine connaissance de l’ensemble des pièces médicales versées au dossier, ainsi qu’après avoir procédé à des analyses complémentaires (prises de sang). Ils ont chacun de leur côté communiqué des conclusions apparaissant concordantes avec leurs constats cliniques objectifs et, pour la période débutant à partir de janvier 2021, globalement superposables à celles ressortant de l’expertise du 11 octobre 2016 de la Policlinique I.________. Cela étant, fait manifestement défaut un véritable consilium du cas de la recourante, dans la mesure où l’appréciation prétendument consensuelle des experts consiste de fait en une reprise littérale de divers passages des rapports établis spécifiquement par chacun des spécialistes consultés. Aucune discussion, ni évaluation globale de la situation de la recourante ne figure dans cette appréciation, de sorte que les éléments pertinents doivent être recherchés dans les rapports rédigés séparément par chacun des spécialistes dans son domaine de compétence. Ce procédé ne correspond clairement pas aux exigences d’une mission expertale dans un contexte pluridisciplinaire. b) Par ailleurs, on peut reprocher aux experts du D.________ d’avoir communiqué une analyse insuffisante des indicateurs ressortant de la jurisprudence fédérale en matière de troubles psychiques, alors que</w:t>
      </w:r>
    </w:p>
    <w:p>
      <w:r>
        <w:t>- 29 - c’est précisément en raison d’une telle affection que la recourante serait dotée d’une capacité de travail limitée à 50 % dès le 1er janvier 2021. A cet égard, l’appréciation des experts du D.________, singulièrement de l’expert psychiatre, peut difficilement être suivie sans explications complémentaires. On relève notamment qu’a été observé auprès de la recourante un défaut de compliance à ses traitements. L’expert psychiatre a en effet relaté que la prise de sang effectuée permettait de déduire que la recourante ne prenait pas le traitement prescrit par son psychiatre traitant, à tout le moins pas dans la mesure thérapeutique préconisée. Il a néanmoins, contre toute attente et sans autre justification, retenu l’absence d’incohérence de son comportement (cf. rapport d’expertise du D.________, Annexe 3, p. 39). Dans le cadre de l’évaluation consensuelle, les experts n’ont aucunement discuté cet aspect. Ils se sont limités à mentionner des incohérences au regard des plaintes ostéoarticulaires, sans commenter plus avant le défaut de compliance au traitement du registre psychiatrique, en ces termes (cf. rapport d’expertise du D.________ du 12 janvier 2022, p. 6) : « […] Les plaintes sur le plan ostéoarticulaire et les limitations fonctionnelles qui en découlent ne peuvent être réellement objectivées par l'examen clinique ou par les constatations radiologiques. Nous ne trouvons pas d'explication évidente aux sensations d'instabilité ébrieuse. Nous sommes par ailleurs très surpris du comportement de l'expertisée qui force énormément sur les membres supérieurs pour se tenir debout sur les cannes anglaises, et qui ne peut effectuer un seul pas sans ses cannes anglaises. Même le passage de la position assise à la position allongée nécessite un appui sur ses cannes. Nous sommes aussi surpris qu'elle ait pu voyager en avion [...] l'été dernier (2021) malgré toutes les difficultés décrites. Cela nous laisse un sentiment d'exagération. […] » On ne peut donc que s’interroger sur la cohérence et la plausibilité de l’état de santé psychique affiché par la recourante en présence d’un défaut de compliance, sans disposer d’aucun étayage des experts sur cette question. c) S’agissant des ressources qui justifieraient la reconnaissance d’une capacité résiduelle de travail auprès de la recourante, force est d’observer que les experts du D.________ ont</w:t>
      </w:r>
    </w:p>
    <w:p>
      <w:r>
        <w:t>- 30 - exclusivement mis en évidence les difficultés présentées par celle-ci, comme suit (cf. ibidem, p. 6) : « […] Madame C.________ a du mal à s'organiser, prend difficilement des décisions. Elle a le besoin permanent de son entourage familial pour toutes les tâches quotidiennes, sa famille l'aide donc beaucoup. Elle a un repli social évident. L'expertisée paraît assez ralentie et fatigable. Madame C.________ peut mener à bien les activités de la vie quotidienne. Elle est très démonstrative concernant ses plaintes qui semblent nettement exagérées. Son importante obésité est un facteur défavorisant. Les instabilités ébrieuses entraînent des limitations fonctionnelles. Il est encore à relever que Madame C.________ ne conduit pas, ne parle ni ne comprend le français, n'a aucune formation spécifique en dehors d'un apprentissage de couturière [...], et n'a jamais repris d'activité professionnelle depuis 1998. […] » On peut déduire de la description ci-dessus que la seule ressource à disposition de la recourante est constituée de son entourage familial, lequel lui prodigue un soutien qui n’apparaît justifié par aucun des diagnostics avancés dans le cas particulier. Une fois encore, on ne voit pas que les experts aient analysé à satisfaction cette incohérence et exposé pourquoi les difficultés mises en évidence ne constituaient pas des obstacles à la reprise d’une activité lucrative, même à un taux réduit. En ne soulignant que les difficultés de la recourante, sans exposer grâce à quelles ressources elle pourrait les surmonter, les experts fournissent ainsi eux-mêmes les éléments qui sèment le doute sur leur appréciation de la capacité résiduelle de travail dans le cas particulier. d) Il s’ensuit qu’il s’avère impossible de déterminer si la recourante a connu une amélioration effective de son état de santé dès le 1er janvier 2021 et, cas échéant, la mesure de sa capacité de travail depuis lors. 12. a) En dépit des défauts de l’expertise du D.________ mis en évidence ci-dessus, force est en outre de constater que l’aggravation alléguée par la recourante dès l’été 2022, appuyée par les rapports de ses médecins traitants, n’a fait l’objet d’aucune investigation sérieuse de la part de l’intimé, singulièrement du SMR. Certes, on peut, à l’instar de ce dernier, relever a priori que les rapports de la Dre J.________ des 27 août et 27 octobre 2022 et du Centre G.________ du</w:t>
      </w:r>
    </w:p>
    <w:p>
      <w:r>
        <w:t>- 31 -</w:t>
      </w:r>
    </w:p>
    <w:p>
      <w:r>
        <w:rPr>
          <w:b/>
        </w:rPr>
        <w:t>E. 17</w:t>
      </w:r>
    </w:p>
    <w:p>
      <w:r>
        <w:t>octobre 2022 ne fournissent pas d’éléments objectifs réellement nouveaux. Les médecins traitants de la recourante se font en effet le relai des plaintes douloureuses formulées de longue date par cette dernière et de leurs répercussions massives dans la gestion du quotidien. Le rapport produit par le CMS le 24 août 2022 ne constitue, dans ce contexte, pas davantage un document justifiant de retenir une aggravation objectivée sur le plan médical. Néanmoins, il aurait été judicieux, dans le contexte litigieux de la procédure d’audition, de solliciter l’avis des experts du D.________ sur la péjoration avancée par la recourante, voire de faire procéder à un complément d’expertise afin de vérifier les informations communiquées par les médecins traitants et, une nouvelle fois, la compliance de la recourante aux traitements mis en œuvre, avant de statuer définitivement sur le cas particulier. Au demeurant, un tel complément aurait permis de requérir la détermination des experts sur les limitations alléguées par la recourante dans l’accomplissement des tâches ménagères et de juger de l’adéquation de l’intervention du CMS en sa faveur. b) En l’absence d’une appréciation médicale étayée sur les pièces produites par la recourante au stade de la procédure d’audition, il s’avère prématuré de qualifier d’avérée l’aggravation dont elle se prévaut. Cette conclusion s’impose d’autant plus à la lecture des rapports des médecins traitants, lesquels ne fournissent pas les détails utiles à cet égard (status clinique, symptômes objectifs, vérification de la compliance, etc.). 13. On ajoutera qu’en l’état du dossier, la position affichée par l’intimé apparaît pour le moins contradictoire, si l’on confronte la décision litigieuse à la décision rendue en matière d’impotence. On observe en effet que pour statuer sur le droit à la rente, l’intimé a suivi strictement la détermination du 9 novembre 2022 du SMR. En revanche, dans le contexte de l’impotence, l’intimé s’est fondé sur les conclusions de l’enquête à domicile du 5 mai 2022 et a retenu un besoin d’accompagnement pour faire face aux nécessités de la vie en raison des troubles psychiques. Or, la prise en compte d’une impotence de degré</w:t>
      </w:r>
    </w:p>
    <w:p>
      <w:r>
        <w:t>- 32 - faible, reposant de fait uniquement sur les allégations de la recourante à l’attention de l’enquêtrice de l’intimé, apparaît incompatible avec les conclusions communiquées par les experts du D.________ sur le plan psychique. La décision rendue en matière d’impotence affaiblit par conséquent d’autant la position soutenue par l’intimé dans le cadre de l’examen du droit à la rente. 14. En synthèse, il convient de conclure que le dossier de la recourante est constellé de contradictions et d’incohérences, tant sur le plan médical que du point de vue des décisions rendues par l’intimé, tandis que la décision litigieuse repose, en plus, sur une méthode erronée d’évaluation de l’invalidité. En l’état, la Cour de céans n’est par conséquent pas en mesure de se prononcer sur le droit à la rente de la recourante à compter du 1er janvier 2021. 15.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w:t>
      </w:r>
    </w:p>
    <w:p>
      <w:r>
        <w:t>- 33 - 2007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Dans ce contexte, il lui incombera de mettre en œuvre une nouvelle expertise pluridisciplinaire de la recourante, destinée à clarifier le tableau clinique présenté par cette dernière depuis le 1er janvier 2021, à déterminer si une aggravation de son état de santé est ou non survenue durant l’été 2022 et à statuer sur sa capacité résiduelle de travail à l’aune de la grille des indicateurs préconisée par la jurisprudence fédérale, ainsi que sur les éventuels empêchements ménagers justifiés objectivement sur le plan médical. Une fois ce complément entrepris, il appartiendra à l’intimé de fixer le degré d’invalidité de la recourante sur la base de la méthode mixte d’évaluation de l’invalidité. 16. 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w:t>
      </w:r>
    </w:p>
    <w:p>
      <w:r>
        <w:t>- 34 -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