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ZD23.000991 vom 12. Februar 2024</w:t>
      </w:r>
    </w:p>
    <w:p>
      <w:r>
        <w:t>VD Tribunal cantonal, 2024-02-12, FR</w:t>
      </w:r>
    </w:p>
    <w:p>
      <w:r>
        <w:rPr>
          <w:b/>
        </w:rPr>
        <w:t xml:space="preserve">Quelle: </w:t>
      </w:r>
      <w:r>
        <w:t>https://mcp.opencaselaw.ch/entscheid/vd_gerichte_ZD23.000991</w:t>
      </w:r>
    </w:p>
    <w:p>
      <w:r>
        <w:t>FR: VD_GERICHTE ZD23.000991 du 12 février 2024</w:t>
      </w:r>
    </w:p>
    <w:p>
      <w:r>
        <w:t>IT: VD_GERICHTE ZD23.000991 del 12 febbraio 2024</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w:t>
      </w:r>
    </w:p>
    <w:p>
      <w:r>
        <w:t>- 20 - raisonnablement exigibles, s’il a présenté une incapacité de travail d’au moins 40 % en moyenne durant une année sans interruption notable et si, au terme de cette année, il est invalide à 40 % au moins (art. 28 al. 1 LAI). b)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27bis RAI])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144 I 28 consid. 2.3 ; 137 V 334 consid. 3.2 et les références).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w:t>
      </w:r>
    </w:p>
    <w:p>
      <w:r>
        <w:t>- 21 -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cc) En l’absence d’un revenu effectivement réalisé – soit lorsque la personne assurée, après la survenance de l’atteinte à la santé, n’a pas repris d’activité lucrative ou alors aucune activité normalement exigible –, le revenu d’invalide comme le revenu sans invalidité est évalué sur la base des salaires ressortant de l’Enquête suisse sur la structure des salaires (ESS) (ATF 129 V 472 consid. 4.2.1 ; 126 V 76 consid. 3a/bb). Depuis la dixième édition de l’Enquête suisse sur la structure des salaires (ESS 2012),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 9C_901/2017 du 28 mai 2018 consid. 3.3). Quatre niveaux de compétences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(TF 9C_370/2019 du 10 juillet 2019</w:t>
      </w:r>
    </w:p>
    <w:p>
      <w:r>
        <w:t>- 22 - consid. 4.1 et les références citées ; TF 8C_46/2018 du 11 janvier 2019 consid. 4.4 ; 9C_901/2017 du 28 mai 2018 consid. 3.3).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5</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w:t>
      </w:r>
    </w:p>
    <w:p>
      <w:r>
        <w:t>- 23 -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aa)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 ATF 137 V 334 consid. 4.2 et les références).</w:t>
      </w:r>
    </w:p>
    <w:p>
      <w:r>
        <w:t>- 24 - bb)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(ATF 133 V 504 consid. 4.2). La jurisprudence pose comme critère que l’aide ne saurait constituer une charge excessive du seul fait qu’elle va au- delà du soutien que l’on peut attendre de manière habituelle sans atteinte à la santé (ATF 133 V 504 consid. 4.2 ; 130 V 97 consid. 3.3.3 et les références).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 TF 8C_748/2019 du 7 janvier 2020 consid. 5.3 ; 9C_491/2008 du 21 avril 2009 consid. 3). cc ) aaa)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Si nécessaire, ajouter à la suite : Le seul fait que la personne désignée pour procéder à l’enquête se trouve dans un rapport</w:t>
      </w:r>
    </w:p>
    <w:p>
      <w:r>
        <w:t>- 25 -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bbb) Même si, compte tenu de sa nature, l’enquête économique sur le ménage est en premier lieu un moyen approprié pour évaluer l’étendue d’empêchements dus à des limitations physiques, elle garde cependant valeur probante lorsqu’il s’agit d’estimer les empêchements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9C_925/2013 du 1er avril 2014 consid. 2.2 et les références citées). d)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6</w:t>
      </w:r>
    </w:p>
    <w:p>
      <w:r>
        <w:t>Dans un premier grief de nature formelle, la recourante se plaint d’une violation de son droit d’être entendue. Elle déplore le fait que l’intimé ne lui ait pas fourni d’indications sur les revenus avec et sans invalidité retenus pour effectuer la comparaison des revenus sur la part</w:t>
      </w:r>
    </w:p>
    <w:p>
      <w:r>
        <w:t>- 26 - active, estimant qu’elle n’a dès lors pas été en mesure de contester valablement la décision sur ce point.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sorte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w:t>
      </w:r>
    </w:p>
    <w:p>
      <w:r>
        <w:rPr>
          <w:b/>
        </w:rPr>
        <w:t>E. 11</w:t>
      </w:r>
    </w:p>
    <w:p>
      <w:r>
        <w:t>janvier 2019). On peut se rallier aux conclusions étayées et motivées du Dr P._________. Ainsi que l’a relevé la Dre M.________ du SMR, l’expert orthopédiste expose à satisfaction ses constats cliniques objectifs en lien avec la problématique aux deux genoux (pp. 5-6). Il clarifie également les limitations fonctionnelles permettant d’épargner les articulations atteintes (activité sédentaire, essentiellement assise ; courts déplacements à plat possibles ; éviter la position à genoux ou accroupie, la marche en terrain irrégulier, la montée des pentes et escaliers, ainsi que le port de charges lourdes ; cf. p. 8). Ces limitations sont superposables à celles mentionnées pour les genoux par le Dr E.________ (rapport du 19 août 2014 ; cf. aussi avis SMR du 25 avril 2016 et rapport SMR du</w:t>
      </w:r>
    </w:p>
    <w:p>
      <w:r>
        <w:rPr>
          <w:b/>
        </w:rPr>
        <w:t>E. 14</w:t>
      </w:r>
    </w:p>
    <w:p>
      <w:r>
        <w:t>août 2018). Dans le rapport produit le 1er mars 2018 par l’avocate de l’assurée, le Dr O.________ fait quant à lui mention d’une aggravation de la gonarthrose bilatérale depuis 2018. L’IRM du genou droit du 4 février 2019 faisait toutefois aussi état d’une aggravation. Ces documents ne permettent toutefois pas de poser de plus amples limitations fonctionnelles que celles retenues par le Dr P._________, ceci dans le cadre d’une pathologie notoirement</w:t>
      </w:r>
    </w:p>
    <w:p>
      <w:r>
        <w:t>- 30 - dégénérative. Vu l’indication à une arthroplastie totale des deux genoux et vu que l’exigibilité professionnelle ne porte que sur une activité sédentaire, essentiellement assise, les limitations fonctionnelles évoquées ci-dessus ne vont pas évoluer, même si l’atteinte à l’articulation peut encore s’aggraver, le cas échéant jusqu’à rupture. Le Dr Q._______, consulté en second avis, s’il confirme les diagnostics retenus, ne se prononce que sur la limitation fonctionnelle relative au port de charges lourdes, qui était à éviter. L’expert disposait ainsi des avis des médecins ayant examiné la recourante et de toutes les imageries au dossier (radiographies du genou gauche du 27 novembre 2018 ; IRM du genou gauche du 27 novembre 2018 et IRM du genou droit du 4 février 2019). Sur le plan clinique, l’expert a procédé aux examens usuels pour les membres supérieurs, la colonne vertébrale et les membres inférieurs, les plaintes de la recourante étant cohérentes avec le status observé. L’expertise fournit ainsi une vision cohérente et exhaustive de la situation. Le rapport de consultation du Dr O.________ du 5 octobre 2020 n’est quant à lui pas contributif. Le spécialiste consulté par l’intéressée n’expose pas les raisons qui rendent impossible la reprise d’une activité adaptée aux limitations fonctionnelles. Le fait que les infiltrations n’aient plus d’effet n’est pas pertinent. En effet, le Dr P._________ préconisait une arthroplastie totale bilatérale et non la poursuite du traitement conservateur, voué à l’échec selon lui (p. 8). Le rapport de consultation du Dr O.________ est ainsi tout à fait insuffisant pour faire douter de l’appréciation de l’expert. Quant à l’impact sur la capacité de travail du prolapsus utérin, évoqué par le Dr N.________ (rapport du 26 février 2019) et la Dre L.________ (rapport du 15 mai 2018), il n’est plus significatif compte tenu de l’intervention chirurgicale intervenue le 14 novembre 2019. La lecture que fait le SMR du rapport du Dr P._________ n’est pas critiquable, dans la mesure où l’expert estime que l’activité professionnelle de coordinatrice pour des clients de langue arabe respecte les limitations fonctionnelles (activité sédentaire, essentiellement assise ; courts déplacements à plat possibles ; éviter la position à genoux ou accroupie, la marche en terrain irrégulier, la montée des pentes et escaliers, ainsi que le port de charges lourdes). Le Dr P._________ admet une diminution du rendement de 25 % « en raison des importantes difficultés pour les déplacements » (p. 8). L’expert préconise une arthroplastie totale des deux genoux qui permettrait à la recourante d’obtenir une capacité de travail de 100 % dans une activité adaptée aux limitations fonctionnelles. Toutefois, à l’instar de ce que la Dre M.________ du SMR a estimé, la diminution de rendement pouvait être contournée par l’usage de cannes ou d’attelles stabilisatrices pour les genoux, actuellement pas utilisées d’après l’expert (p. 4). Ceci d’autant plus qu’une activité consistant à prendre des rendez- vous médicaux pour des tiers peut aussi être exercée – à tout le moins partiellement – à domicile. »</w:t>
      </w:r>
    </w:p>
    <w:p>
      <w:r>
        <w:t>- 31 - Après la reprise de l’instruction, la recourante a produit, dans le cadre de la procédure d’audition, un rapport du 19 juillet 2022 du Dr O.________, lequel relevait que, malgré le bypass qui avait permis de limiter la charge corporelle, les lésions cartilagineuses et les lésions fémoro-tibiales et fémoro-patellaires étaient irréversibles. Il a précisé que la recourante avait besoin d’injections tous les six mois jusqu’à la mise en place des prothèses. Ce chirurgien mentionnait aussi que la coxarthrose, la scoliose et la discopathie restaient « invalidantes ». Il évaluait la capacité de travail dans une activité stationnaire sans marcher à 30 % et retenait les limitations fonctionnelles suivantes : alternance des positions assises/debouts ; pas de position accroupie ou à genou ; pas de rotation du tronc ; pas de travaux au-dessus des épaules ; sans portage. Cependant, ce rapport n’apporte aucun élément nouveau par rapport aux diagnostics et aux limitations fonctionnelles retenues par le Dr P._________ dans son rapport du 9 décembre 2019 (comp. p. 8, ch. 7.4). De plus, il apparaît que la recourante n’a toujours pas bénéficié d’une arthroplastie totale bilatérale propre à améliorer son périmètre de marche (p. 8, ch. 8.3) et qu’elle ne désire d’ailleurs pas se faire opérer (enquête économique sur le ménage du 12 avril 2022, p. 2, ch. 2). Quant à la coxarthrose débutante, la recourante n’indique pas en quoi ce diagnostic entraînerait de plus amples limitations fonctionnelles sur le plan orthopédique. On rappelle aussi que la diminution de rendement pouvait être contournée par l’usage de moyens auxiliaires pour les genoux, auquel la recourante n’a cependant pas eu recours, étant rappelé qu’une activité consistant à prendre des rendez-vous médicaux pour des tiers peut toujours aussi être exercée – à tout le moins partiellement – à domicile. Quant au Dr N.________, il estime que sa patiente bénéficie d’une capacité de travail de 60 % dans une activité « extrêmement sédentaire » en raison du périmètre de marche très limité, sans port de charges lourdes, sans montée d’escaliers et sans source de stress (rapport du 21 juillet 2022). Dès lors qu’il n’existe aucun élément nouveau par rapport aux conclusions expertales du Dr P._________, il n’y a pas lieu de remettre en cause celles- ci. Les appréciations de la capacité de travail des Drs N.________ et O.________ ne reposent ainsi sur aucun élément objectif nouveau au dossier, étant au demeurant observé que, s’agissant de médecins</w:t>
      </w:r>
    </w:p>
    <w:p>
      <w:r>
        <w:t>- 32 - traitants, il convient de relativiser leur portée dès lors que l’on doit tenir compte du fait que, selon l’expérience, la relation thérapeutique et le rapport de confiance qui les lient à leur patient les placent dans une situation délicate pour constater les faits dans un contexte assécurologique (ATF 135 V 465 consid. 4.5 et 4.6 et les références citées ; TF 8C_281/2019 du 19 mai 2020 consid. 5.1). Aussi, avec l’OAI, il y a lieu de retenir que l’aspect médical a été jugé au moins jusqu’au 23 mars 2020 ; jusqu’à cette date, il y a lieu de retenir une capacité de travail entière dans une activité de coordinatrice pour des clients de langue arabe, laquelle respecte les limitations fonctionnelles (activité sédentaire, essentiellement assise ; courts déplacements à plat possibles ; éviter la position à genoux ou accroupie, la marche en terrain irrégulier, la montée des pentes et escaliers, ainsi que le port de charges lourdes). c) Reste la question de l’évaluation médicale pour la période postérieure au 23 mars 2020. A cet égard, la recourante indique avoir subi deux accidents, l’un le 13 novembre 2021 (contusion au bras lorsqu’un bus a freiné et qu’elle est tombée), finalement déclaré à l’assureur- accidents le 20 juin 2022, puis un second le 28 septembre 2022 (fracture poignet droit à la suite d’une chute lors de travaux ménagers). aa) S’agissant du premier événement survenu le 13 novembre 2021, il y a lieu de constater que celui-ci n’a même pas été évoqué lors de l’enquête économique sur le ménage du 12 avril 2022, si bien qu’il n’y a pas lieu de retenir des séquelles qui n’ont ni été alléguées par la recourante ni été constatées par l’enquêteur de l’assurance- invalidité. bb) En revanche, le second évènement survenu le 28 septembre 2022 a semble-t-il provoqué des séquelles. La recourante a dans un premier temps consulté le Dr S.________ dès le 11 octobre 2022. Ce spécialiste a diagnostiqué une fracture très peu déplacée du poignet gauche survenue suite à cette seconde chute et fait savoir que si la</w:t>
      </w:r>
    </w:p>
    <w:p>
      <w:r>
        <w:t>- 33 - fracture avait très bien guéri avec un traitement conservateur, une algoneurodystrophie s’était développée par la suite. Préconisant la poursuite d’un traitement d’ergothérapie, le Dr S.________ posait un pronostic « assez favorable » à huit mois et estimait que l’activité de traductrice était adaptée à la symptomatologie. Dans ses rapports des 30 décembre 2022 et 26 janvier 2023, le Dr T.________, s’il relève une impotence fonctionnelle de la totalité du membre supérieur droit, n’a cependant pas pris position sur la capacité de travail dans l’activité habituelle ou dans une activité adaptée. Il a initialement mentionné un suivi en raison d’une hémiparésie du membre supérieur droit et d’un probable SDRC (rapport du 30 décembre 2022) puis précisé son diagnostic sur la base de l’IRM du 6 janvier 2023, retenant une probable capsulite rétractile en phase 1 de l’épaule droite sur rupture massive de la coiffe des rotateurs. Ce chirurgien n’apparaît pas convaincu de la présence d’un SDRC, le qualifiant de « probable » mais sans argument clinique dans son premier rapport du 30 décembre 2022 et indiquant que la recourante était « suivie par son médecin traitant » pour ce motif dans son second rapport du 26 janvier 2023, mais ne retenant plus ce diagnostic pour sa part. Il y a ainsi lieu de constater que ce diagnostic ne peut être établi au degré de la vraisemblance prépondérante vu les doutes exprimés par le Dr T.________ et le fait que les douleurs et la possible rigidité de l’épaule retenues par le Dr S.________ pouvaient s’expliquer par d’autres causes (notamment les atteintes de la coiffe des rotateurs, cf. IRM du 6 janvier 2023). Reste que, sans que le diagnostic ne soit déterminant, l’impotence fonctionnelle du membre supérieur droit, observée cliniquement par le Dr T.________, date de la fin du mois de septembre 2022 (rapport du 26 janvier 2023 du Dr T.________). Il est ainsi établi que la situation de la recourante s’est, a priori, péjorée à la suite de la chute survenue le 28 septembre 2022. Quant à la décision contestée, elle a été rendue près de deux mois plus tard, le 21 novembre 2022. Or conformément à l’art. 88a al. 2 RAI, si la capacité de gain de l’assuré ou sa capacité d’accomplir les travaux habituels se dégrade, ce changement est déterminant pour l’accroissement du droit aux prestations dès qu’il a duré trois mois sans interruption notable. En l’occurrence, dans la mesure où</w:t>
      </w:r>
    </w:p>
    <w:p>
      <w:r>
        <w:t>- 34 - l’éventuelle modification de l’état de santé de la recourante est survenue moins de deux mois avant la décision litigieuse, il n’y a pas lieu d’en tenir compte dans le cadre de la présente cause. d) Il résulte de ce qui précède que la recourante ne peut être suivie lorsqu’elle affirme qu’elle ne peut pas travailler à plus de 30 %, si bien qu’au jour de la décision attaquée, il y a lieu de conclure que la recourante présentait une capacité de travail de 100 % dans une activité adaptée respectant les limitations fonctionnelles (activité sédentaire, essentiellement assise ; courts déplacements à plat possibles ; éviter tout métier qui implique de se mettre à genoux ou accroupie ; éviter de marcher en terrain irrégulier ; éviter de monter ou descendre des pentes ou des escaliers ; éviter le port de charges lourdes) à l’aide des moyens auxiliaires préconisés (attelles stabilisatrices pour les genoux et cannes anglaises), l’activité de coordinatrice pour des clients de langue arabe étant notamment exigible. 8. Reste à vérifier le degré d’invalidité retenu par l’intimé. a) A la suite de l’arrêt de renvoi du Tribunal fédéral, l’OAI a repris l’instruction de la cause, et a mis en œuvre une évaluation destinée à déterminer le statut de la recourante. Il résulte de cette enquête que la recourante présentait un statut de 30 % active et de 70 % ménagère jusqu’au 29 février 2020, puis de 60 % active et de 40 % ménagère dès le 1er mars 2020, ce que l’intéressée ne conteste pas. Dans son écriture du 30 juin 2023, la recourante se plaint que les troubles qu’elle présente à son épaule droite réduisent considérablement ses possibilités d’effectuer les tâches du quotidien et qu’elle n’était plus en mesure d’effectuer les tâches qui nécessitent l’utilisation de son bras droit tel que notamment tous les travaux de nettoyage, les courses, la lessive ou le repassage. Ce moyen doit cependant être rejeté dès lors que la décision contestée a été rendue le 21 novembre 2022, près de deux mois après l’apparition de ces troubles suite à la chute survenue le 28 septembre 2022, à savoir une durée de</w:t>
      </w:r>
    </w:p>
    <w:p>
      <w:r>
        <w:t>- 35 - moins de trois mois, insuffisante pour en tenir compte dans le cadre de la présente procédure (art. 88a al. 2 RAI ; comp. consid. 7c/bb ci-dessus). Dans le cadre de son recours, il y a lieu de constater que la recourante ne remet plus en cause le taux d’empêchement ménager retenu par l’enquêteur dans l’exécution des tâches du ménage (24,9 %) qu’elle contestait dans le cadre de la procédure d’audition (cf. rapport du 21 juillet 2022 du Dr N.________ et la motivation accompagnant la décision attaquée du 21 novembre 2022). b) Pour le surplus, l’OAI a produit avec son écriture du 10 août 2023 une communication interne de la REA du 26 juillet 2023, accompagnée du calcul du salaire exigible, si bien que l’argumentation de la recourante quant à l’absence de détermination des revenus avec et sans invalidité ne peut être suivie. En l’occurrence, il y a lieu de calculer le degré d’invalidité présenté par la recourante dès le mois de janvier 2019, soit une année après le début de l’incapacité de travail (art. 28 al. 1 LAI) et d’appliquer la méthode mixte d’évaluation de l’invalidité (consid. 4b et c ci-dessus). aa) C’est à juste titre que l’intimé s’est fondé sur les ESS, faute de revenu effectivement réalisé. Il convient de se référer à l’ESS 2018 pour le calcul du degré d’invalidité en 2019, en procédant à l’indexation correspondante (+ 1 % ; OFS, T39 Evolution des salaires nominaux, des prix à la consommation et des salaires réels 2010-2022), et à l’ESS 2020 pour le calcul du degré d’invalidité en 2020. Le revenu auquel pouvaient prétendre les femmes pour des activités simples et répétitives dans les domaines de la production et des services était de 4'371 fr. selon l’ESS 2018 et de 4'276 fr. selon l’ESS 2020, pour une semaine de 40 heures. Après indexation et adaptation à la durée de travail hebdomadaire moyenne durant les années en question, qui était de 41,7 heures (OFS, Durée normale du travail dans les entreprises selon la division économique 2004-2021), les salaires annuels de référence se montent respectivement à 55'228 fr. 02 en 2019 et 53'492 fr. 76 en 2020 et</w:t>
      </w:r>
    </w:p>
    <w:p>
      <w:r>
        <w:t>- 36 - peuvent être retenus au titre de revenus sans invalidité pour ces deux périodes. bb) Quant au revenu avec invalidité, l’on procédera sur les mêmes bases en appliquant un abattement de 5 % pour tenir compte des limitations fonctionnelles, lequel n’est pas contesté, si bien que les revenus d’invalide se montent à 52'466 fr. 61 en 2019 et à 50'818 fr. 15 en 2020. cc) Le degré d’invalidité pour la part active se monte ainsi à 5 % pour les deux périodes (52'466 fr. 61 ÷ 55'228 fr. 02 et 50'818 fr. 15 ÷ 53'492 fr. 76). c) Aussi, le degré d’invalidité a évolué de la manière suivante : De janvier 2019 à décembre 2019 Activité partielle Part Empêchement Degré d’invalidité Active 30 % 5 % 1,5 % Ménagère 70 % 24,9 % 17,43 % Degré d’invalidité 18,93 % De janvier 2020 à février 2020 Activité partielle Part Empêchement Degré d’invalidité Active 30 % 5 % 1,5 % Ménagère 70 % 24,9 % 17,43 % Degré d’invalidité 18,93 % Et à partir de janvier 2020 : Activité partielle Part Empêchement Degré d’invalidité Active 60 % 5 % 3 % Ménagère 40 % 24,9 % 9,96 % Degré d’invalidité 12,96 %%</w:t>
      </w:r>
    </w:p>
    <w:p>
      <w:r>
        <w:t>- 37 - Inférieur pour toutes les périodes considérées au seuil de 40 %, le degré d’invalidité n’ouvre pas le droit à la rente (art. 28 al. 1 LAI). 9. a) La recourante fait enfin grief à l’OAI de ne pas avoir procédé à une analyse globale de la situation. Elle explique qu’elle entame sa soixantième année, souffre de diverses atteintes reconnues, présente des limitations fonctionnelles, n’a pas d’expérience professionnelle et dispose d’un français peu étayé. 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 9C_774/2016 du 30 juin 2017 consid. 5.2. et les références citées). Cela revient à déterminer, dans le cas concret qui est soumis à l’administration ou au juge, si un employeur potentiel consentirait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Le moment où la question de la mise en valeur de la capacité (résiduelle) de travail pour un assuré proche de l’âge de la retraite sur le</w:t>
      </w:r>
    </w:p>
    <w:p>
      <w:r>
        <w:t>- 38 -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143 V 432 consid. 4.5.2 ; TF 9C_839/2017 du 24 avril 2018 consid. 6.2). c) En l’espèce, le Tribunal fédéral a constaté que le grief de la recourante relatif à l’exigibilité de la mise en valeur de sa capacité résiduelle de travail dans une activité adaptée compte tenu de la jurisprudence « sur l’âge avancé » n’est pas fondé. En effet, au moment déterminant qu’elle invoque (le 16 décembre 2019), elle avait 56 ans, ce qui est loin de l’âge pertinent au sens de la jurisprudence (cf. ATF 138 V 457). Si les restrictions induites par les limitations fonctionnelles peuvent limiter dans une certaine mesure les possibilités de retrouver un emploi, on ne saurait considérer qu’elles rendent cette perspective illusoire dans l’hypothèse d’un marché équilibré du travail. Celui-ci offre un large éventail d’activités légères adaptées aux limitations fonctionnelles de l’intéressée et accessibles sans formation particulière, lesquelles sont notamment décrites dans le calcul du salaire exigible du 26 juillet 2023 qui ne prête pas flanc à la critique. De surcroît, l’instruction a montré que la recourante a – elle-même – travaillé dans une activité de coordinatrice en langue arabe, ce qui indique également qu’elle peut se reclasser, ceci même en n’ayant pas eu d’autres expériences professionnelles. Ce moyen doit ainsi être rejeté. 10. A titre de mesures d’instruction, la recourante a requis la mise en œuvre d’une expertise médicale judiciaire et son audition personnelle. Comme démontré plus avant, les éléments au dossier sont suffisants pour permettre à la Cour des assurances sociales de se prononcer et de renoncer à requérir un complément d’instruction sous la forme d’une expertise et de l’audition de la recourante. Par conséquent, il</w:t>
      </w:r>
    </w:p>
    <w:p>
      <w:r>
        <w:t>- 39 - n’y a pas lieu de donner suite à ces requêtes.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11. a) Il résulte de ce qui précède que le recours, mal fondé, doit être rejeté, ce qui entraîne la confirmation de la décision litigieuse.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de la recourante, qui succombe. Toutefois, dès lors qu’elle a obtenu, au titre de l’assistance judiciaire, l’exonération d’avances et des frais de justice, ces frais sont laissés provisoirement à la charge de l’Etat (art. 122 al. 1 let. b CPC [code de procédure civile du 19 décembre 2008 ; RS 272], applicable par renvoi de l’art. 18 al. 5 LPA-VD). c) Par décision de la juge instructrice du 27 février 2023, la recourante a été mise au bénéfice de l’assistance judiciaire avec effet au 10 janvier 2023 et a obtenu à ce titre la commission d’une avocate d’office en la personne de Me Favre. Cette dernière a produit sa liste des opérations le 1er novembre 2023. Ces opérations, vérifiées d’office, sont justifiées. L’indemnité de Me Favre est ainsi arrêtée à 2'859 fr. 30 ([14,46 heures + × 180 fr.] + 5 % [débours ; cf. art. 3bis al. 1 RAJ] + 7,7 % [TVA 2023]), débours et TVA compris pour la période du 10 janvier au 1er novembre 2023.</w:t>
      </w:r>
    </w:p>
    <w:p>
      <w:r>
        <w:t>- 40 - d) La rémunération de Me Favre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e) Il n’y a par ailleurs pas lieu d’allouer de dépens, la recourante n’obtenant pas gain de cause (art. 61 let. g LPGA).</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