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ZD22.053215 vom 13. Juni 2024</w:t>
      </w:r>
    </w:p>
    <w:p>
      <w:r>
        <w:t>VD Tribunal cantonal, 2024-06-13, FR</w:t>
      </w:r>
    </w:p>
    <w:p>
      <w:r>
        <w:rPr>
          <w:b/>
        </w:rPr>
        <w:t xml:space="preserve">Quelle: </w:t>
      </w:r>
      <w:r>
        <w:t>https://mcp.opencaselaw.ch/entscheid/vd_gerichte_ZD22.053215</w:t>
      </w:r>
    </w:p>
    <w:p>
      <w:r>
        <w:t>FR: VD_GERICHTE ZD22.053215 du 13 juin 2024</w:t>
      </w:r>
    </w:p>
    <w:p>
      <w:r>
        <w:t>IT: VD_GERICHTE ZD22.053215 del 13 giugno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w:t>
      </w:r>
    </w:p>
    <w:p>
      <w:r>
        <w:t>- 14 -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w:t>
      </w:r>
    </w:p>
    <w:p>
      <w:r>
        <w:t>- 15 -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w:t>
      </w:r>
    </w:p>
    <w:p>
      <w:r>
        <w:t>- 16 - constatations du médecin de l’assurance (ATF 135 V 465 consid. 4.5 et 4.6 et les références citées ; TF 8C_281/2019 du 19 mai 2020 consid. 5.1) d)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 Les avis médicaux établis par le SMR constituent des rapports au sens de l’art. 59 al. 2bis LAI (dans sa teneur en vigueur au 31 décembre 2021, en corrélation avec l’art. 49 al. 1 RAI). De tels rapports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avis de synthèse du SMR, dès lors qu’ils contiennent des informations utiles à la prise de décision pour l’administration ou les tribunaux, sous forme d’un résumé de la situation médicale et d’une appréciation de celle- ci (ATF 142 V 58 consid. 5.1 ; TF 9C_10/2017 du 27 mars 2017 consid. 5.1 et les références citées ; TF 9C_542/2011 du 26 janvier 2012 consid. 4.1 et les références citées). Il convient cependant de poser des exigences strictes en matière de preuve ; une expertise devra être ordonnée si des doutes, même faibles, subsistent quant à la fiabilité ou à la pertinence des</w:t>
      </w:r>
    </w:p>
    <w:p>
      <w:r>
        <w:t>- 17 - constatations effectuées par le SMR (ATF 135 V 465 consid. 4.6 ; TF 9C_10/2017 précité consid. 5.1 et les références citées).</w:t>
      </w:r>
    </w:p>
    <w:p>
      <w:r>
        <w:rPr>
          <w:b/>
        </w:rPr>
        <w:t>E. 5</w:t>
      </w:r>
    </w:p>
    <w:p>
      <w:r>
        <w:t>a) En l’espèce, il est admis que le recourant a présenté une incapacité de travail totale dans toute activité à compter du 18 mai 2020 et que son activité habituelle de manutentionnaire n’était plus exigible depuis lors, situation qui ouvrait le droit à une rente entière d’invalidité à compter du 1er mai 2021. Puis, sur la base des pièces médicales recueillies et d’avis du SMR, l’intimé a retenu que le recourant a présenté, à compter du mois de novembre 2021, une capacité de travail entière dans une activité adaptée à ses limitations fonctionnelles (travailler les bras tendus ou en l’air, station debout ou assise prolongée, marche prolongée, monter ou descendre les escaliers, port de charges répété de plus de 5 kg), ce qui conduisait à lui nier tout droit à une rente postérieurement au 31 janvier 2022. Le recourant conteste cette appréciation. Dans un premier temps, il a fait valoir pour l’essentiel que l’évaluation de la capacité de travail dans une activité adaptée reposait uniquement sur le rapport du Dr A.________ du 12 novembre 2021, alors que ce médecin n’était pas spécialiste en rhumatologie ou en orthopédie et qu’il avait émis des réserves dans le cadre de son appréciation. Il critiquait également l’absence de spécialisation de la Dre P.________ du SMR, dont l’intimé a suivi les avis. Dans un second temps, le recourant a produit un rapport d’expertise privée établi à sa demande par le Prof. F.________. b) Les griefs relatifs à l’absence de spécialisation du Dr A.________ ne peuvent être suivis. En effet, l’absence d’une spécialisation en orthopédie ou en rhumatologie du médecin n’est pas un élément déterminant de la valeur probante d’un rapport médical portant sur des atteintes de cet ordre. D’une part, l’exigence d’une spécialisation spécifique n’est posée par la jurisprudence que pour les médecins mandatés pour procéder à une expertise ou à un examen SMR. D’autre part, le titre de médecin praticien, dont est titulaire le Dr A.________, est décerné aux médecins qui peuvent justifier d’une formation postgrade de</w:t>
      </w:r>
    </w:p>
    <w:p>
      <w:r>
        <w:t>- 18 - trois ans (art. 2 al. 1 let. a et ch. 2 Annexe 1 de l’Ordonnance fédérale du 27 juin 2007 concernant les diplômes, la formation universitaire, la formation postgrade et l’exercice des professions médicales universitaires [OPMéd] ; RS 811.112.0). Il ressort des programmes de formations postgraduées élaborés par l’Institut suisse pour la formation médicale (ISFM) qu’au terme de sa formation, « le détenteur d’un titre postgrade de "médecin praticien / médecin praticienne" dispose des compétences pour exercer la médecine de famille sous sa propre responsabilité » (cf. ch. 1 à 4 du Programme de formation postgraduée de médecin praticien, publié sur www.siwf.ch). Ses prérogatives sont ainsi proche de celles reconnues au spécialiste en médecine interne générale, qui dure deux années supplémentaires, consistant à évaluer les examens à effectuer et les traitements appropriés à chaque phase sur la base d’une anamnèse détaillée, prendre en charge eux-mêmes les examens et les cas les plus fréquents, faire appel si nécessaire à des spécialistes au moment opportun et intégrer les constatations et les recommandations des spécialistes dans leur plan diagnostic et thérapeutique, en incluant les patients et leur entourage dans le processus décisionnel (ch. 1 et 2 du Programme de formation postgraduée de spécialiste en médecine interne générale, publié sur www.siwf.ch). Il faut ainsi considérer que le Dr A.________ dispose de toutes les compétences requises pour évaluer les atteintes somatiques du recourant, notamment leurs répercussions sur sa capacité de travail, ainsi que pour interpréter les rapports et résultats d’examens effectués par les spécialistes auxquels il a adressé son patient. Il en va de même pour l’argumentation du recourant relative aux qualifications de la Dre P.________, qui n’a pas établi un rapport d’examen au sens de l’art. 49 al. 2 RAI – sur lequel portent les jurisprudences citées par le recourant –, mais un avis au sens de l’art. 59 al. 2bis LAI en corrélation avec l’art. 49 al. 1 RAI. c) L’intimé s’est fondé sur des avis du SMR retraçant fidèlement le parcours médical du recourant depuis le dépôt de sa demande de prestations. Ainsi, dans son avis du 20 décembre 2021, la Dre P.________ a tenu compte de l’ensemble des pièces médicales versées</w:t>
      </w:r>
    </w:p>
    <w:p>
      <w:r>
        <w:t>- 19 - au dossier de l’intimé depuis 2020, en particulier le rapport établi par les médecins du Service [...] du R.________ du 12 mars 2021, les rapports d’imagerie médicale, notamment des ultrasons de la hanche effectués le 13 juillet 2021, ainsi que les rapports établis par le Dr A.________ les 24 juillet, 2 et 23 novembre 2020, 21 septembre et 12 novembre 2021. La Dre P.________ a en outre retenu les limitations fonctionnelles annoncées par le Dr A.________ dans son dernier rapport, lesquelles concernaient tant l’atteinte à l’épaule gauche que les douleurs survenues dans le courant de l’année 2021 au niveau de la hanche et du genou gauches. Elle n’a par ailleurs fait aucune allusion aux rapports du médecin-conseil de X.________, de sorte que les reproches du recourant à l’encontre de ce dernier ne sont pas pertinents. Enfin, dans la mesure où le Dr A.________ évoquait la poursuite d’un suivi auprès du R.________ pour son épaule gauche, la Dre P.________ a prié l’intimé d’obtenir les éventuelles pièces médicales établies par les médecins de cet établissement. Il a alors été noté, début 2022, qu’il n’y avait plus de prise en charge pour cette problématique depuis mai 2021. Le SMR a ainsi constaté, dans son avis du 1er mars 2022, qu’il n’y avait plus de prise en charge pour l’épaule gauche depuis mai 2021 et qu’il fallait en conclure que cette atteinte n’était pas incapacitante dans une activité adaptée tandis que les atteintes à la hanche gauche étaient résolues. Certes, dans son rapport du 12 novembre 2021, le Dr A.________ a évoqué une possible capacité de travail dans une activité adaptée « probablement » en début d’année 2022 car l’atteinte à la hanche gauche avait connu une amélioration après une infiltration. Il a émis des réserves en raison de la persistance de plaintes algiques et précisé que des mesures de réadaptation n’étaient pas encore possibles au jour de l’établissement de son rapport. Il n’en demeure pas moins qu’au moment où le SMR a établi son avis, aucun élément du dossier ne contredisait le pronostic posé par le médecin traitant. Le recourant a contesté le projet de décision sans l’étayer de pièces médicales, bien qu’invité à le faire et malgré la constitution d’un mandataire professionnel. Il ne pouvait à cet égard se retrancher derrière le principe inquisitoire posé par l’art. 43 al. 1 LPGA, celui-ci étant justement limité par le devoir des parties de collaborer</w:t>
      </w:r>
    </w:p>
    <w:p>
      <w:r>
        <w:t>- 20 - à l’instruction de l’affaire et donc d’apporter, dans la mesure où cela peut raisonnablement être exigé d’elles, les preuves commandées par la nature du litige et des faits invoqués (ATF 125 V 193 consid. 2). d) Cela étant, le recourant a finalement produit un rapport établi le 5 mars 2024 par le Dr A.________, indiquant que le pronostic posé avec réserve en novembre 2021 ne s’était pas réalisé. Il a également produit un rapport d’expertise privée établi le 15 novembre 2023 par le Prof. F.________. Ce spécialiste a conclu à l’absence de toute capacité de travail, en raison d’une polypathologie de l’appareil locomoteur affectant les deux épaules, la colonne cervicale et dorsolombaire, la hanche gauche et le genou gauche. Cette situation s’expliquait, selon lui, par l’activité professionnelle « particulièrement lourde et exigeante » de manutention de quartiers de viande en milieu réfrigéré, ainsi que par d’anciens traumatismes. Comme l’a souligné le SMR dans son avis du 20 novembre 2023, l’expertise privée du Prof. F.________ ne remplit pas tous les critères requis par la jurisprudence pour se voir attribuer la valeur probante d’une expertise médicale indépendante. Le SMR a pointé l’absence d’indications sur une éventuelle prise en charge médicale (traitement médicamenteux ou physiothérapie) et sur le quotidien de l’intéressé, ainsi qu’une argumentation lacunaire pour conclure à une incapacité de travail dans une activité adaptée, alors que le Prof. F.________ retient des limitations fonctionnelles superposables à celles qui ont été retenues en 2022. Il n’en demeure pas moins que le Prof. F.________ a posé un diagnostic sur la base d’une anamnèse complète des problématiques médicales, de nouvelles imageries médicales et d’un examen complet du recourant. Le SMR admet que ces éléments sont nouveaux mais ne procède pas à un comparatif avec les status figurant dans les rapports de 2021 sur lesquels il a fondé ses avis, étant au surplus relevé que lesdits rapports ne décrivaient pas non plus le quotidien de l’assuré. L’éventuelle absence de prise en charge médicale spécifique, que ce soit une médication ou un suivi de physiothérapie, n'est pas un élément suffisant pour établir la capacité de travail du recourant. Enfin, quand bien même certains troubles</w:t>
      </w:r>
    </w:p>
    <w:p>
      <w:r>
        <w:t>- 21 - dégénératifs révélés par les imageries seraient « assez minimes et courants à son âge », cela ne permet pas de considérer que ces troubles n’ont aucun impact sur les capacités fonctionnelles du recourant, ce d’autant que l’avancée en âge ne peut qu’aggraver ces atteintes. e) Selon la jurisprudence, il est admissible de se fonder sur le contenu des avis médicaux du SMR, sauf s’ils sont sérieusement contredits par d’autres rapports médicaux que les médecins du SMR auraient ignorés (cf. ATF 142 V 58 consid. 5.1, cité ci-avant). En l’occurrence, si l’on peut déplorer le fait qu’il ait attendu novembre 2023 et mars 2024 pour fournir des éléments étayant son point de vue, il faut constater avec le recourant que les rapports médicaux produits en cours d’instance jettent le doute sur les conclusions du SMR fondant la décision litigieuse. Ainsi, et bien qu’il s’agisse d’un cas limite, il apparaît que l’instruction menée par l’intimé est lacunaire et ne permet pas de se prononcer sur les questions litigieuses en toute connaissance de cause. Il convient par conséquent de renvoyer la cause à cette autorité – à qui il appartient au premier chef d’instruire, conformément au principe inquisitoire qui régit la procédure dans le domaine des assurances sociales selon l’art. 43 al. 1 LPGA – pour compléter l’instruction. Il conviendra notamment de mettre en œuvre un examen orthopédique ou rhumatologique auprès du SMR ou d’experts externes. Il convient par ailleurs de relever que les mesures de reclassement ont été refusées au recourant sur le seul constat que le degré d’invalidité déterminé en novembre 2021 était insuffisant. Ce faisant, l’intimé semble avoir omis de procéder à un examen circonstancié des possibilités de réadaptation du recourant, quand bien même celui-ci était âgé de 60 ans lorsque le projet de décision a été rendu, respectivement 61 ans au moment où la décision a été notifiée. En effet, la jurisprudence a déterminé que, lorsque le droit à la rente d’une personne assurée qui est âgée de 55 ans révolus ou qui a bénéficié d’une rente pendant quinze ans au moins est réduit ou supprimé par révision (art. 17 al. 1 LPGA), reconsidération (art. 53 al. 2 LPGA), ou dans le cadre</w:t>
      </w:r>
    </w:p>
    <w:p>
      <w:r>
        <w:t>- 22 - d’une décision d’octroi, à titre rétroactif, d’une rente limitée dans le temps, il convient de présumer qu’elle ne peut en principe pas entreprendre de son propre chef tout ce que l’on peut raisonnablement attendre d’elle pour tirer profit de sa capacité résiduelle de travail (ATF 145 V 209 consid. 5.1 ; TF 9C_303/2022 du 31 mai 2023 consid. 5.2 ; TF 9C_517/2016 du 7 mars 2017 consid. 5.1 et 5.2). Par conséquent, dans ces situations, l'examen et l'exécution des éventuelles mesures constituent une condition de la suppression (ou réduction) de la rente, cette dernière ne pouvant prendre effet antérieurement (TF 8C_582/2017 du 22 mars 2018 consid. 6.4 et les références citées). Les organes de l'assurance- invalidité doivent se fonder sur le moment du prononcé de la décision de l'office AI pour déterminer si l'âge de référence de 55 ans est atteint (ATF 148 V 321 consid. 7.3 ; TF 9C_303/2022 du 31 mai 2023 consid. 5.2). En conséquence, l’intimé est invité à garder à l’esprit au moment de reprendre l’instruction que le recourant est désormais très proche de l’âge de la retraite et à rendre une nouvelle décision tenant compte adéquatement de ses possibilités de réadaptation. Il faut également rappeler, à toutes fins utiles, que la comparaison des revenus doit être calculée sur les chiffres les plus concrets possibles, ce qui implique notamment de recourir aux données statistiques les plus proches de la date de référence pour la naissance du droit à la rente ou pour l’éventuelle modification du droit à la rente.</w:t>
      </w:r>
    </w:p>
    <w:p>
      <w:r>
        <w:rPr>
          <w:b/>
        </w:rPr>
        <w:t>E. 6</w:t>
      </w:r>
    </w:p>
    <w:p>
      <w:r>
        <w:t>a) En définitive, le recours doit être admis et la décision attaquée annulée, la cause étant renvoyée à l’intimé afin qu’il en complète l’instruction dans le sens des considérants puis rende une nouvelle décision. b) La procédure de recours en matière de contestations portant sur des prestations de l’assurance-invalidité est soumise à des frais judiciaires (art. 69 al. 1bis LAI). Il convient de les fixer à 600 fr. et de les mettre à la charge de l’intimé, vu l’issue du litige.</w:t>
      </w:r>
    </w:p>
    <w:p>
      <w:r>
        <w:t>- 23 - c) Aux termes de l'art. 45 al. 1 LPGA, les frais de l'instruction sont pris en charge par l'assureur qui a ordonné les mesures ; à défaut, l'assureur rembourse les frais occasionnés par les mesures indispensables à l'appréciation du cas ou comprises dans les prestations accordées ultérieurement. Selon la jurisprudence, les frais d'expertise font partie des frais de procédure (cf. TF 8C_61/2016 du 19 décembre 2016 consid. 6.1 et les arrêts cités). Les frais d'expertise privée peuvent être inclus dans les dépens mis à la charge de l'assureur social lorsque cette expertise était nécessaire à la résolution du litige (ATF 115 V 62 consid. 5c ; TF 8C_61/2016 précité consid. 6.1 in fine ; 8C_354/2015 du 13 octobre 2015 consid. 6.1 et les arrêt cités, in SVR UV n° 24 p. 75). En l’occurrence, le recourant a requis la prise en charge par l’intimé des frais d’établissement du rapport du Prof. F.________ du 15 novembre 2023, par 400 francs. Ce rapport ayant contribué à faire admettre qu’une investigation médicale supplémentaire était nécessaire, il y a lieu d’en mettre les frais à charge de l’intimé. d) Le recourant obtient gain de cause et a droit à une indemnité de dépens à titre de participation aux honoraires de son conseil (art. 61 let. g LPGA). Me Duc a déposé une liste des opérations le 17 juin 2024, faisant état de 55 minutes effectuées par lui-même, 1 heure par Me Caroline Stucki, avocate-stagiaire, 23 heures et 5 minutes par un collaborateur juriste de l’étude et 5 minutes par un autre membre du personnel de l’étude. Cette liste ne peut pas être intégralement suivie. On constate en premier lieu que plusieurs opérations ne sont pas en rapport avec la présente cause, notamment des opérations antérieures à la notification de la décision litigieuse. En deuxième lieu, les tarifs appliqués ne correspondent pas aux tarifs usuels pratiqués dans le canton de Vaud, tout particulièrement les opérations déployées par le collaborateur juriste de l’étude. Troisièmement, on relève plusieurs opérations concernent des tâches de secrétariat, qui n’ont pas à être rémunérées en sus des débours. Enfin, d’une manière générale, l’activité déployée dépasse ce qu’admet la pratique de la Cour dans l’estimation du temps objectivement requis pour le traitement de cas de ce genre eu égard à l’importance et à la</w:t>
      </w:r>
    </w:p>
    <w:p>
      <w:r>
        <w:t>- 24 - complexité du litige. Ainsi, tout bien considéré, il convient d’arrêter l’indemnité à 2'500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