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ZD22.052573 vom 5. Juli 2023</w:t>
      </w:r>
    </w:p>
    <w:p>
      <w:r>
        <w:t>VD Tribunal cantonal, 2023-07-05, FR</w:t>
      </w:r>
    </w:p>
    <w:p>
      <w:r>
        <w:rPr>
          <w:b/>
        </w:rPr>
        <w:t xml:space="preserve">Quelle: </w:t>
      </w:r>
      <w:r>
        <w:t>https://mcp.opencaselaw.ch/entscheid/vd_gerichte_ZD22.052573</w:t>
      </w:r>
    </w:p>
    <w:p>
      <w:r>
        <w:t>FR: VD_GERICHTE ZD22.052573 du 5 juillet 2023</w:t>
      </w:r>
    </w:p>
    <w:p>
      <w:r>
        <w:t>IT: VD_GERICHTE ZD22.052573 del 5 luglio 2023</w:t>
      </w:r>
    </w:p>
    <w:p>
      <w:pPr>
        <w:pStyle w:val="Heading2"/>
      </w:pPr>
      <w:r>
        <w:t>Erwägungen</w:t>
      </w:r>
    </w:p>
    <w:p>
      <w:r>
        <w:rPr>
          <w:b/>
        </w:rPr>
        <w:t>E. 3</w:t>
      </w:r>
    </w:p>
    <w:p>
      <w:r>
        <w:t>Dans un grief formel qu’il convient d’examiner en premier lieu, le recourant se plaint d’une violation de son droit d’être entendu, d’une part, parce que la décision attaquée serait insuffisamment motivée quant au rejet de l’appréciation du Dr T.________ et, d’autre part, au motif que son dossier n’aurait pas été instruit à satisfaction.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w:t>
      </w:r>
    </w:p>
    <w:p>
      <w:r>
        <w:t>- 18 -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garanti par l’art. 29 al. 2 Cst. comprend également le droit pour toute partie de produire des preuves pertinentes, d’obtenir qu’il soit donné suite à ses offres de preuves pertinentes, lorsque cela est de nature à influer sur la décision à rendre (ATF 145 I 167 consid. 4.1 ; 143 V 71 consid. 4.1 ; 140 I 285 consid. 6.3.1).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b) En l’occurrence, le grief de violation de l’art. 29 al. 2 Cst. pour défaut de motivation de la décision attaquée n’est pas fondé. En effet, la motivation de la décision du 29 novembre 2022 permet aisément de comprendre quels éléments ont été retenus par l’office intimé et pourquoi ils l’ont été. Ainsi, il a retenu, en se fondant sur les conclusions</w:t>
      </w:r>
    </w:p>
    <w:p>
      <w:r>
        <w:t>- 19 - du médecin-conseil de la CNA, que le recourant ne présentait pas d’atteinte incapacitante au sens de l’assurance-invalidité et qu’aucun élément médical objectif n’établissait que sa capacité de travail dans une activité adaptée à ses limitations fonctionnelles fût limitée. Comme l’a mis en évidence la jurisprudence, il suffit que la décision mentionne, au moins brièvement, les motifs qui ont guidé l’autorité et sur lesquels elle a fondé sa décision de manière à ce que l’intéressé puisse se rendre compte de la portée de celle-ci et l’attaquer en connaissance de cause, ce qui est le cas en l’espèce. En réalité, en tant que le recourant reproche à l’office intimé de n’avoir pas motivé de manière suffisamment intelligible son refus de rente, le grief se confond avec celui d’arbitraire dans la constatation des faits et l’appréciation des preuves, tout comme le grief relatif à l’allégation d’un défaut d’instruction dans la mesure où il porte au final sur le résultat de l’appréciation des preuves. Ces arguments seront donc examinés avec le fond du litige.</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w:t>
      </w:r>
    </w:p>
    <w:p>
      <w:r>
        <w:t>- 20 -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w:t>
      </w:r>
    </w:p>
    <w:p>
      <w:r>
        <w:t>- 21 -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t>- 22 -</w:t>
      </w:r>
    </w:p>
    <w:p>
      <w:r>
        <w:rPr>
          <w:b/>
        </w:rPr>
        <w:t>E. 6</w:t>
      </w:r>
    </w:p>
    <w:p>
      <w:r>
        <w:t>a) En l’espèce, il n’est pas contesté que le recourant n’est plus en mesure d’exercer son activité habituelle de monteur sanitaire. Se pose dès lors la question de savoir s’il présente une capacité résiduelle dans une activité adaptée et de quel degré. A cet égard, l’OAI s’est fondé sur le rapport du 11 mars 2022 du DrJ.________ pour retenir une pleine capacité de travail dans une activité adaptée en tenant compte des limitations fonctionnelles suivantes : port de charges répété de plus de 15 à 25 kg. L’intimé a principalement fondé son appréciation sur la base du dossier constitué par la CNA qui a procédé à l’essentiel de l’instruction de la cause. Cette façon de faire n’est pas contestable en l’occurrence et n’est au demeurant pas critiquée par le recourant. Ce dernier met en revanche en doute la force probante du rapport précité du Dr J.________, ainsi que celle du rapport de la Clinique R.________ du 30 juillet 2021 sur lequel se base le Dr J.________. b) L’appréciation du Dr J.________ du 11 mars 2022 tient compte de l’ensemble de l’anamnèse, repose sur un examen clinique, prend en compte les plaintes du recourant ainsi que les IRM et ultrasons versés jusqu’alors au dossier de sorte qu’il y a lieu de lui reconnaître une pleine valeur probante. Il a retenu comme diagnostics une rupture de l’insertion distale du tendon du biceps brachial droit et notion de neurapraxie du nerf radial postopératoire sans précision. Il a constaté que la musculature au niveau des épaules était importante et symétrique et qu’il y avait étonnamment un tremblement au biceps gauche lors d’une contraction des biceps de façon bilatérale. Il a retenu qu’il y avait objectivement une diminution de la force du membre supérieur droit avec un ralentissement des mouvements, mais néanmoins conservée et qu’il y avait une amytrophie musculaire du membre supérieur droit vis-à-vis du gauche mais qu’il persistait une musculature importante à droite avec un flexum de 15 degrés du coude droit. Sur le plan médical, ne constatant plus d’amélioration, il fallait retenir les limitations fonctionnelles suivantes : port de charges répété de plus de 15 à 25 kg.</w:t>
      </w:r>
    </w:p>
    <w:p>
      <w:r>
        <w:t>- 23 - Cette appréciation est confirmée par celle des médecins de la Clinique R.________ qui ont évoqué une stabilisation médicale dans un délai de 1 à 2 mois depuis le 30 juillet 2021 et un pronostic de retour dans une activité respectant les limitations du recourant favorable à 100 % tout en précisant que la situation était pratiquement stabilisée d’un point de vue médical (cf. p. 5 du rapport du 30 juillet 2021). c) Aucun élément du dossier ne vient contredire de manière convaincante l’analyse et les conclusions du Dr J.________. D’une part, le rapport du 9 février 2022 du Dr O.________ n’est d’aucun secours au recourant dans la mesure où ce médecin a attesté une incapacité de travail depuis le 7 octobre 2022, alors qu’il s’agit vraisemblablement du 7 octobre 2020 et sans avoir même revu l’assuré depuis 2012. D’autre part, les rapports du Dr T.________ ne se prononcent pas sur la capacité résiduelle de travail du recourant suite à l’accident du 6 octobre 2020 (cf. rapports des 5 mai et 4 novembre 2021 et correspondances des 22 septembre 2021, 13, 19 et 25 mai et 6 juillet 2022), sauf dans son certificat du 3 juin 2022 dans lequel il a attesté une capacité de travail entière dans un activité adaptée. S’agissant de la capacité de port de charges du recourant, on peut déjà relever qu’elle fluctue au gré des rapports du Dr T.________ (5 kg dans son courriel du 22 septembre 2021, 5 à 10 kg dans son courrier du 13 mai 2022, puis à nouveau 5 kg dans son courrier du 25 mai 2022). Ensuite, on ne peut que constater que les conclusions des rapports du Dr T.________ ne reposent que sur les seules allégations du recourant, le médecin ne rapportant pas d’éléments objectifs ressortant d’un examen clinique confirmant le propos de son patient. Or, tant les médecins de la Clinique R.________ que le Dr J.________ ont relevé l’existence d’incohérences ainsi que le fait que le recourant sous-estimait ses aptitudes fonctionnelles. Ainsi, les médecins de la Clinique R.________ ont noté des incohérences par rapport aux performances obtenues lors des tests réalisé en comparaison avec d’autres thérapies (cf. p. 5 du rapport du 30 juillet 2021 et p. 7 du rapport de la phase initiale du 29 juin 2021), ont relevé que la force de la main droite au jamar était trop basse</w:t>
      </w:r>
    </w:p>
    <w:p>
      <w:r>
        <w:t>- 24 - pour que cela trouve une justification médicale (cf. p. 5 du rapport du 30 juillet 2021) et ont conclu à des autolimitations reflétant finalement seulement le niveau d’effort auquel le recourant avait bien voulu consentir (cf. p. 1 de l’évaluation des capacités fonctionnelles du 4 août 2021, p. 5 du rapport du 30 juillet 2021 et p. 7 du rapport de la phase initiale du 29 juin 2021). A cet égard, le rapport de physiothérapie du 30 juillet 2021 mentionne que le recourant se montrait compliant en thérapie mais devenait de plus en plus démonstratif en thérapie individuelle, moins actif en thérapie de groupe et peu motivé en fin de semaine avec des absences annoncées lors des groupes en particulier le vendredi. Le Dr W.________ et le maître socio-professionnel Q.________ ont évalué avec réserve le comportement au travail du recourant concernant la collaboration et l’investissement lors des tests standardisés et des activités (p. 5 du rapport de la phase initiale du 29 juin 2021). On doit ainsi constater que les différents intervenants ont tous indiqué un problème dans le comportement du recourant, notamment en lien avec sa motivation. A cet égard, on peut relever la manière quelque peu cavalière du recourant de mettre fin à la mesure de détection précoce mise en place auprès de la Fondation [...] (cf. rapport du 1er mars 2022). On relèvera ici que le Tribunal fédéral considère que des circonstances indiquant une exagération (telles qu'une amplification des symptômes ou un caractère revendicateur) constituent un élément décisif pour évaluer la pertinence du diagnostic ; les experts sont ainsi fondés, sans s'exposer à un reproche de prévention, à examiner les déclarations de l'assuré sous cet angle, afin d'en tirer des conclusions quant au caractère invalidant du trouble analysé (TF 9C_179/2022 du 24 août 2022 consid. 6.2 et les références citées). Ces considérations sont également valables en cas d’autolimitation, laquelle doit être identifiée afin de déterminer l’influence des atteintes à la santé sur la capacité de travail d’un assuré. C’est ainsi à juste titre que les médecins de la Clinique R.________ ont tenu compte de l’existence d’autolimitation de la part du recourant pour poser leurs conclusions. La prise en compte d’autolimitation est d’autant plus justifiée que les différentes imageries n’ont rien relevé de concluant. A cet égard, le Dr J.________ a relevé que, comme le neurologue et l’ergothérapeute, il ne comprenait pas la perte importante de force du membre supérieur droit</w:t>
      </w:r>
    </w:p>
    <w:p>
      <w:r>
        <w:t>- 25 - qui atteignait même l’épaule alors que l’IRM du 19 avril 2021 n’avait pas montré de dégénérescence musculaire (cf. courriel du 1er avril 2021 de l’ergothérapeute, rapport du 13 septembre 2021 de la Dre D.________ et p. 5 du rapport du 11 mars 2022). On peut d’ailleurs mentionner que le Dr T.________ lui-même a relevé que l’IRM était négative (cf. rapport du 5 mai 2021 et courriel du 22 septembre 2021), ce qui a été confirmé par la Dre D.________ qui a indiqué que s’il y avait une atteinte sensitive en rapport avec une lésion lors de l’intervention chirurgicale du nerf latéral cutané antébrachial droit et du nerf interosseux postérieur droit, cette atteinte nerveuse n’expliquait pas la faiblesse persistante du recourant qui n’était apparemment pas due à une lésion nerveuse. Enfin, on constatera que, contrairement à ce que soutient le recourant, l’appréciation des médecins de la Clinique R.________ n’est pas vague mais basée non seulement sur les observations et constatations des différents intervenants (physiothérapeute, ergothérapeute, ateliers professionnels, etc.) mais également sur l’ensemble des éléments du dossier, notamment les antécédents médicaux du recourant, les différentes imageries effectuées ainsi que sur leurs propres observations. En définitive, force est de constater qu’aucun élément objectif ou clinique ne vient objectiver un port de charge inférieur à celui fixé par le Dr J.________ et les médecins de la Clinique R.________. Ainsi, les éléments médicaux au dossier ne permettent pas de mettre en doute les conclusions du médecin d’arrondissement. Si l’on devait tout de même prendre en compte les limitations fonctionnelles décrites par le Dr T.________ (port de maximum 5-10 kg, respectivement de maximum 5 kg de manière occasionnel et sans mouvement répétitif), force est de constater que les activités suggérées par l’OAI, à savoir un travail simple et répétitif dans le domaine industriel léger (par exemple montage, contrôle ou surveillance d’un processus de production, ouvrier à l’établi dans des activités simples et légères, ouvrier dans le conditionnement comme opérateur sur machines conventionnelles [perçage, fraisage, taraudage et autres]) pourraient également être envisagées dès lors que</w:t>
      </w:r>
    </w:p>
    <w:p>
      <w:r>
        <w:t>- 26 - celles-ci ne demandent aucun port de charge, ni mouvement répétitif (cf. REA – rapport final du 2 février 2023).</w:t>
      </w:r>
    </w:p>
    <w:p>
      <w:r>
        <w:rPr>
          <w:b/>
        </w:rPr>
        <w:t>E. 7</w:t>
      </w:r>
    </w:p>
    <w:p>
      <w:r>
        <w:t>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c)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w:t>
      </w:r>
    </w:p>
    <w:p>
      <w:r>
        <w:t>- 27 -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C’est le lieu de rappeler que l'évaluation de l'invalidité s'effectue à l'aune d'un marché équilibré du travail. Cette notion, théorique et abstraite, sert de critère de distinction entre les cas tombant sous le coup de l'assurance-chômage et ceux qui relèvent de l'assurance- 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w:t>
      </w:r>
    </w:p>
    <w:p>
      <w:r>
        <w:rPr>
          <w:b/>
        </w:rPr>
        <w:t>E. 8</w:t>
      </w:r>
    </w:p>
    <w:p>
      <w:r>
        <w:t>a) En l’espèce, aucun rapport médical ne s’inscrit en faux contre le constat du 11 mars 2022 opéré par le Dr J.________ de la capacité du recourant d’exercer à 100 % une activité adaptée aux limitations fonctionnelles qu’entraînent les lésions à son membre supérieur droit (cf. consid. 6 supra). Les limitations fonctionnelles du recourant ne présentent pas de spécificités telles qu’elles rendraient illusoire l’exercice d’une activité professionnelle. Le marché du travail offre en effet un large</w:t>
      </w:r>
    </w:p>
    <w:p>
      <w:r>
        <w:t>- 28 - éventail d’activités légères, dont on doit convenir qu’un certain nombre sont adaptées aux limitations du recourant et accessibles sans aucune formation particulière (ATF 110 V 273 consid. 4b ; TF 9C_496/2015 du 28 octobre 2015 consid. 3.2). Le recourant n’apporte du reste aucun élément permettant de s’écarter de ce constat. b) S’agissant du revenu sans invalidité, le recourant allègue que l’intimé n’a pas pris en compte les bonnes données relatives au salaire. L’intimé, tant dans son calcul du 18 mars 2022 que dans celui du 2 février 2023, a tenu compte d’un salaire horaire de 32 fr. multiplié par 41 heures 25 et par 4.35, soit 52 semaines divisées par 12 mois (pour tenir compte des vacances), le tout multiplié par 13 mois (pour tenir compte du 13e salaire). Ainsi, il faut constater que l’intimé a pris en compte tant les vacances que le 13e salaire. C’est donc à tort que le recourant soutient que l’intimé n’aurait pas tenu compte du salaire afférent aux vacances et que c’est également à tort que le recourant procède à un calcul tenant compte d’un montant de [32 + 3.4 + 2.95] x 41.25 x 52 qui reviendrait à tenir compte deux fois des vacances. En revanche, tant le recourant que l’intimé n’ont pas tenu compte du montant horaire de 32 fr. 30 tel qu’il ressort du courriel du 7 octobre 2022 de l’employeur. En définitive, le revenu sans invalidité doit être fixé à (32.30 x 41.25 x [52/12] x 13 =] 75'057 fr. 12. c) S’agissant du revenu d’invalide, le recourant ne critique pas le calcul effectué sur la base de l’ESS, qui peut effectivement être confirmé. Il estime en revanche qu’abattement d’au moins 5 % doit être effectué sur les valeurs statistiques afin de tenir compte de ses limitations fonctionnelles qui impliquent une activité à taux réduit, partant un salaire réduit, dès lors que seule une activité avec un port de charge occasionnel pourrait être requis. La question de la capacité de travail de l’assurée dans une activité adaptée ayant été analysée ci-dessus (cf. consid. 6 supra), il conviendrait d’arrêter le revenu d’invalide en tenant compte d’une pleine capacité de travail. L’intimé ayant cependant tenu compte d’un abattement de 5 % dans le calcul du salaire exigible du 2 février 2023, on ne voit pas de motif de s’écarter de ce calcul. Aussi, le revenu d’invalide</w:t>
      </w:r>
    </w:p>
    <w:p>
      <w:r>
        <w:t>- 29 - de 66'001 fr. 22 (montant qui intègre un abattement de 5 % et une indexation pour les années 2019, 2020 et 2021) peut être confirmé. d) En comparant un revenu sans invalidité de 75'057 fr. 12 avec un revenu d’invalide de 66'001 fr. 22 , il en résulte un degré d’invalidité de 12.07 %, taux insuffisant pour ouvrir le droit à une rente d’invalidité (cf. art. 28b LAI). On relèvera du reste que, même en retenant un taux d’abattement éventuel de 10 %, le droit du recourant à une rente ne s’en trouverait pas modifié, le taux d’invalidité se montant alors à 16.69 % [75'057 fr. 12 – 62'527 fr. 50 = 12'529 fr. 62]</w:t>
      </w:r>
    </w:p>
    <w:p>
      <w:r>
        <w:rPr>
          <w:b/>
        </w:rPr>
        <w:t>E. 9</w:t>
      </w:r>
    </w:p>
    <w:p>
      <w:r>
        <w:t>Le recourant réclame encore un droit au reclassement.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w:t>
      </w:r>
    </w:p>
    <w:p>
      <w:r>
        <w:t>- 30 - c) Selon l’art. 18 al. 1 LAI, l’assuré en incapacité de travail (art. 6 LPGA) et susceptible d’être réadapté a droit à un soutien pour rechercher un emploi approprié ou, s’il en a déjà un, pour le conserver.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d) A la lumière de ce qui précède, l’intimé a à juste titre nié le droit du recourant à un reclassement, l’intéressé ne remplissant en effet pas les conditions minimales permettant l’octroi de cette première mesure étant donné qu’il ne subit pas une diminution de sa capacité de gain de l’ordre de 20 % ou plus (cf. consid. 8 supra). En outre, compte tenu des limitations fonctionnelles retenues, il existe au demeurant un nombre d’activités considérables qui demeurent accessibles à lui, sans reclassement. S’agissant d’une aide au placement, l’intimé a, dans son rapport final du 2 février 2023 indiqué que celle-ci pouvait être proposée pour autant que le recourant soit preneur. Il lui est dès lors loisible de se manifester auprès de l’intimé pour en bénéficier.</w:t>
      </w:r>
    </w:p>
    <w:p>
      <w:r>
        <w:rPr>
          <w:b/>
        </w:rPr>
        <w:t>E. 10</w:t>
      </w:r>
    </w:p>
    <w:p>
      <w:r>
        <w:t>Le dossier étant complet sur le plan médical, permettant ainsi à la Cour de céans de statuer en toute connaissance de cause, il n’y a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Dans la mesure où les conclusions de la Clinique R.________ et du Dr J.________ sont étayées par les données cliniques au dossier, il ne se justifie pas de compléter l’instruction en vue de pallier la prétendue absence de constatations médicales objectives. Ainsi, quoi qu’en dise le</w:t>
      </w:r>
    </w:p>
    <w:p>
      <w:r>
        <w:t>- 31 - recourant, le dossier constitué ne souffre d’aucune lacune, de sorte que toute mesure d’instruction complémentaire apparaît superfétatoire (sur l’appréciation anticipée des preuves : ATF 144 II 427 consid. 3.1.3 ; 140 I 285 consid. 6.3.1).</w:t>
      </w:r>
    </w:p>
    <w:p>
      <w:r>
        <w:rPr>
          <w:b/>
        </w:rPr>
        <w:t>E. 11</w:t>
      </w:r>
    </w:p>
    <w:p>
      <w:r>
        <w:t>a) En définitive,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Il n’y a pas lieu d’allouer de dépens au recourant, qui n’obtient pas gain de cause (art. 61 let. g LPGA). c) Le recourant est au bénéfice de l’assistance judiciaire. Les frais judiciaires mis à sa charge ci-avant sont donc provisoirement supportés par l’Etat. Son conseil d’office a droit à une rémunération équitable (art. 122 CPC [code de procédure civile du 19 décembre 2008 ; RS 272]). Celui-ci a produit une liste d’opérations en date du 8 mai 2023 qui fait état de 5 heures 05 consacrées à la présente procédure. Vérifiée d’office, la liste des opérations peut être approuvée. Il s’ensuit qu’au tarif horaire de 180 fr., l’indemnité de Me Scuderi doit être arrêtée à 915 fr., montant auquel il convient d’ajouter les débours par 45 fr. 75 (915 fr. x 5 % [et non pas 2 % comme retenu à tort par Me Scuderi, cf. art. 3 al. 3bis RAJ (règlement cantonal du 7 décembre 2010 sur l’assistance judiciaire en matière civile ; BLV 211.02.3)]) ainsi qu’une TVA à 7,7 % sur l’ensemble, soit 74 fr. (960 fr. 75 x 7,7 %), pour un total de 1’034 fr. 75 (art. 2, 3 al. 1 et 3bis RAJ). La partie recourante est rendue attentive au fait qu’elle devra rembourser l’indemnité provisoirement prise en charge par l’Etat dès qu’elle sera en mesure de le faire (art. 122 al. 1 et 123 CPC, applicables</w:t>
      </w:r>
    </w:p>
    <w:p>
      <w:r>
        <w:t>- 32 -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