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ZD22.051382 vom 11. April 2023</w:t>
      </w:r>
    </w:p>
    <w:p>
      <w:r>
        <w:t>VD Tribunal cantonal, 2023-04-11, FR</w:t>
      </w:r>
    </w:p>
    <w:p>
      <w:r>
        <w:rPr>
          <w:b/>
        </w:rPr>
        <w:t xml:space="preserve">Quelle: </w:t>
      </w:r>
      <w:r>
        <w:t>https://mcp.opencaselaw.ch/entscheid/vd_gerichte_ZD22.051382</w:t>
      </w:r>
    </w:p>
    <w:p>
      <w:r>
        <w:t>FR: VD_GERICHTE ZD22.051382 du 11 avril 2023</w:t>
      </w:r>
    </w:p>
    <w:p>
      <w:r>
        <w:t>IT: VD_GERICHTE ZD22.051382 del 11 aprile 2023</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w:t>
      </w:r>
    </w:p>
    <w:p>
      <w:r>
        <w:t>- 25 - 2007 consid. 4.2, in : SVR 2007 UV n° 33 p. 111 ; UELI KIESER, ATSG- Kommentar, 2ème éd., n°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l’espèce, il ne pouvait échapper à l’intimé que le volet psychiatrique du rapport d’expertise pluridisciplinaire de K.________ SA s’avérait insuffisant pour statuer sur le cas d’espèce, en particulier à réception des rapports médicaux produits au stade de la procédure d’audition. Etant donné les éléments communiqués les 20 juillet, 21 juillet et 19 août 2022, il incombait à l’intimé de solliciter, à tout le moins, des explications ou un complément auprès de l’expert psychiatre. Il s’impose dès lors de renvoyer la cause à l’intimé pour procéder à une nouvelle expertise psychiatrique de la recourante, laquelle sera le cas échéant complétée par un volet neuropsychologique. 12. a) Le recours doit dès lors être admis et la décision litigieuse annulée, la cause étant renvoyée à l’intimé pour instruction complémentaire et nouvelle décision dans le sens des considérants.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w:t>
      </w:r>
    </w:p>
    <w:p>
      <w:r>
        <w:t>- 26 -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