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ZD22.050555 vom 18. August 2023</w:t>
      </w:r>
    </w:p>
    <w:p>
      <w:r>
        <w:t>VD Tribunal cantonal, 2023-08-18, FR</w:t>
      </w:r>
    </w:p>
    <w:p>
      <w:r>
        <w:rPr>
          <w:b/>
        </w:rPr>
        <w:t xml:space="preserve">Quelle: </w:t>
      </w:r>
      <w:r>
        <w:t>https://mcp.opencaselaw.ch/entscheid/vd_gerichte_ZD22.050555</w:t>
      </w:r>
    </w:p>
    <w:p>
      <w:r>
        <w:t>FR: VD_GERICHTE ZD22.050555 du 18 août 2023</w:t>
      </w:r>
    </w:p>
    <w:p>
      <w:r>
        <w:t>IT: VD_GERICHTE ZD22.050555 del 18 agosto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Dans les cas où la décision concernant la révision d’une rente est rendue après le 1er janvier 2022, mais porte sur une modification déterminante du droit qui a pris naissance avant cette date – ce qui est le cas en l’espèce –, c’est l’ancien droit qui est applicable (cf. ch 9102 de la Circulaire sur l’invalidité et les rentes dans l’assurance- invalidité [CIRAI] valable dès le 1er janvier 2022). Les dispositions légales seront donc citées ci-après dans leur teneur en vigueur jusqu’au 31 décembre 2021.</w:t>
      </w:r>
    </w:p>
    <w:p>
      <w:r>
        <w:rPr>
          <w:b/>
        </w:rPr>
        <w:t>E. 2</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w:t>
      </w:r>
    </w:p>
    <w:p>
      <w:r>
        <w:t>- 12 -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Dans le cadre de l’art. 28 al. 1 let. b LAI, l’incapacité de travail peut être définie comme la perte fonctionnelle, due à une atteinte à la santé, de la capacité de rendement de l’assuré dans sa profession ou dans son champ d’activité habituel (ATF 130 V 97 consid. 3.2 ; Michel Valterio, Loi fédérale sur l’assurance-invalidité [LAI], Genève/Zurich/Bâle 2018, n° 9 ad art. 28 LAI). Pour établir rétrospectivement quand la période de 365 jours a commencé à courir, il faut déterminer le moment à partir duquel la personne assurée a subi une diminution sensible de son rendement dans son activité professionnelle ou dans ses travaux habituels. Une réduction de la capacité de travail de 20 % suffit en principe à ouvrir la période d’attente (Valterio, op. cit., n° 13 ad art. 28 LAI et les références). Le délai d’attente d’une année, pendant lequel l’assuré</w:t>
      </w:r>
    </w:p>
    <w:p>
      <w:r>
        <w:t>- 13 - doit avoir présenté une incapacité de travail de 40 % en moyenne sans interruption notable, commence également à courir lorsque la personne assurée a travaillé, pendant une certaine période, au-delà de ce qui était raisonnablement exigible de sa part, en risquant d’aggraver son état de santé (TF 8C_724/2011 du 24 juillet 2012 consid. 4.3 et les références). A teneur de l’art. 29ter RAI (règlement du 17 janvier 1961 sur l’assurance-invalidité ; RS 831.201), il y a interruption notable de l’incapacité de travail au sens de l’art. 28 al. 1 let. b LAI lorsque l’assuré a été entièrement apte au travail pendant 30 jours consécutifs au moins. Ce délai ne sera toutefois pas interrompu lorsque l’activité exercée met manifestement à trop lourde contribution les forces de l’assuré (Valterio, op. cit., n° 15 ad art. 28 LAI et la référence). d)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e)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Il découle de l’art. 61 let. c LPGA que le juge apprécie librement les preuves médicales, en procédant à une appréciation</w:t>
      </w:r>
    </w:p>
    <w:p>
      <w:r>
        <w:t>- 14 -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g)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(ATF 141 V 281 consid. 4.3 et 4.4 ; 143 V 409 consid. 4.4 ; TF 9C_115/2018 du 5 juillet 2018 consid. 4.1 et les références citées) et suppose en premier lieu que celles-ci soient diagnostiquées par l’expert selon les règles de l’art (ATF 141 V 281 précité, consid. 2.1.2 et 2.2) h)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w:t>
      </w:r>
    </w:p>
    <w:p>
      <w:r>
        <w:t>- 15 -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3</w:t>
      </w:r>
    </w:p>
    <w:p>
      <w:r>
        <w:t>a) Afin d’établir la capacité de travail résiduelle du recourant, l’intimé s’est basé sur les conclusions de l’expertise du J.________ du 31 mars 2022. Les experts ont établi leur rapport après analyse individuelle puis consensuelle, en toute connaissance du dossier de la recourante, après avoir recueilli son anamnèse et entendu ses plaintes. Ils ont procédé à un examen clinique détaillé et ont étudié les imageries réalisées. Ils se sont prononcés sur la capacité de travail de la recourante en tenant compte de l’ensemble des éléments à disposition et également au regard des ressources de l’intéressée. Leurs conclusions ont été prises de manière motivée et détaillée. Leur rapport d’expertise répond par conséquent aux critères jurisprudentiels pour se voir reconnaître une pleine valeur probante. Sur le plan de la médecine interne, le Dr Q.________ n’a pas retenu de diagnostic invalidant, relevant que l’utilisation de divers moyens auxiliaires laissait perplexe et n’était pas bienvenue dans un contexte d’obésité morbide non traitée et existant de longue date. Le reflux gastrique dont la recourante souffrait depuis 1987 était contrôlé sous Nexium 40 mg. La recourante devait en outre vivre avec un asthme saisonnier. Elle était autonome dans les activités de la vie quotidienne et pouvait se déplacer avec son véhicule adapté (pédales inversées). Sa capacité de travail était donc entière sans perte de rendement dans son activité habituelle. Sous l’angle de la médecine physique et de réadaptation, le Dr B.________ a rappelé qu’il y a environ vingt-cinq ans, un rhumatologue avait diagnostiqué une fibromyalgie traitée par la prise d’antalgiques de palier 1 tout au long de l’évolution. Il a relevé que sur un plan strictement</w:t>
      </w:r>
    </w:p>
    <w:p>
      <w:r>
        <w:t>- 16 - orthopédique, l’évolution après la mise en place de la PTG droit avait été favorable et que l’évolution ultérieure concernait le co-expert neurologue, aucune douleur ni gêne n’étant rapportée à la suite de l’opération. Il a noté que la recourante s’était présentée avec une attelle anti-steppage, dans un fauteuil roulant électrique dont elle avait eu beaucoup de mal à sortir, la marche à plat se faisait en trainant le pied droit au sol, puis en lançant le membre pour faire passer le pas. La mobilité rachidienne était normale, il retrouvait uniquement à la palpation une douleur modérée sur la partie gauche de la cicatrice récente. L’examen des membres supérieurs était normal. Au niveau des membres inférieurs, la mobilisation active et passive mettait en évidence uniquement un défaut de flexion dorsale et plantaire de cheville droite, la palpation était douloureuse au niveau de la cuisse droite, de l’interligne fémorotibial gauche, le testing musculaire à gauche était normal, à droite il était caricatural sans corrélation avec l’examen spontané. Le Dr B.________ a constaté que les critères ACR 2010 confirmaient le diagnostic de fibromyalgie, un seul signe de comportement de Waddell étant retrouvé. Il n’a relevé aucune séquelle sur le plan de la médecine physique au niveau des genoux opérés. Dans un contexte d’obésité, des limitations fonctionnelles étaient justifiées dans l’exercice d’une profession autre que l’activité habituelle qui était déjà adaptée. Les limitations consistaient à éviter les montées et descentes répétées d’escaliers avec port de charge supérieure à 5 kg, ainsi que le ports de charge répétés supérieure à 10 kg. Dans l’activité habituelle, il a admis une incapacité de travail de vingt-et-un jours après l’arthroscopie du genou gauche le 16 décembre 2017, de quarante-cinq jours après la mise en place de la prothèse totale du genou gauche le 23 mars 2018 et de la prothèse totale du genou droit le 12 octobre 2018 ; la capacité de travail était totale sans diminution de rendement en dehors de ces périodes. Après avoir examiné les résultats des consultations neurologiques de novembre et décembre 2018 et d’avril 2019 de la Dre G.________, l’experte neurologue U.________ a relevé que cette médecin faisait état d’une bonne évolution neurologique périphérique, avec des signes de réinnervation en décembre 2018, avec amélioration des</w:t>
      </w:r>
    </w:p>
    <w:p>
      <w:r>
        <w:t>- 17 - amplitudes des réponses sensitives et motrices des nerfs péroniers superficiels et profonds et du nerf tibial droit, et des signes de dénervation aigüe et réinnervation précoce à l’électromyographie dans trois muscles dépendant du tronc sciatique. En avril 2019, les amplitudes s’étaient normalisées et on ne retrouvait plus à l’électromyographie que de très discrets signes de dénervation chronique dans le muscle jambier antérieur droit. Ces constats contrastaient avec la mauvaise évolution sur le plan clinique, avec la persistance d’un tableau extrêmement invalidant et d’une atteinte motrice à la marche. La recourante reconnaissait une amélioration du tableau douloureux depuis la mise en place du stimulateur, mais elle décrivait encore des douleurs au pied droit et une difficulté à coordonner son membre inférieur droit en raison d’une atteinte sensitive qui, d’après la description de l’assurée, semblait correspondre à une atteinte de la sensibilité profonde. Or ces plaintes n’étaient pas explicables du point de vue neurologique par une atteinte tronculaire sciatique. La Dre U.________ a ajouté que l’anamnèse et l’examen clinique réalisés lors de l’expertise permettaient de mettre en évidence d’abondants éléments fonctionnels surajoutés aux séquelles de la lésion tronculaire. La recourante avait développé un trouble de la marche fonctionnel qui dépassait très nettement le cadre de l’atteinte tronculaire initiale. En particulier, les manœuvres de distraction permettaient de mettre en évidence une bonne fonction sous réserve d’efforts qui restaient sous-maximaux. Pour le trouble fonctionnel moteur du membre inférieur droit et de la marche, la physiothérapie devait être poursuivie, avec mise en exergue des fonctions et séquences motrices conservées et limitation de l’usage des moyens auxiliaires. L’experte a observé une cohérence entre les plaintes de l’assurée et les constatations cliniques mais ces constatations cliniques aboutissaient au diagnostic de trouble fonctionnel et non d’une atteinte neurologique purement organique. Les ressources étaient conservées, la recourante étant autonome dans les activités de la vie quotidienne. Elle a conclu à une incapacité de travail totale du 12 octobre 2018 au 5 avril 2019 puis a admis une capacité de travail de 80 % depuis lors, les 20 % résiduels consistant en une perte de rendement. L’activité habituelle était adaptée, soit une activité sédentaire avec des déplacements en évitant</w:t>
      </w:r>
    </w:p>
    <w:p>
      <w:r>
        <w:t>- 18 - tout terrain accidenté. La Dre U.________ a précisé que toute mesure de réadaptation était théoriquement exigible. Enfin la Dre D.________ n’a pas retenu de diagnostic psychiatrique, en particulier pas de trouble somatoforme douloureux persistant ni d’autres diagnostics de somatisation en l’absence de détresse psychique associée aux plaintes. En présence d’un examen clinique strictement normal, elle n’a observé aucune atteinte à la santé mentale et a noté une personnalité particulièrement positive, motivée, énergique et déterminée à surmonter au maximum ses déficiences physiques. L’expertisée bénéficiait d’excellentes ressources personnelles qu’elle parvenait à mobiliser de manière efficace ; elle présentait de bonnes capacités d’organisation, de gestion de la relation interpersonnelle en situation duelle expertale, de respect de cadre et de communication. L’experte ne relevait pas de difficulté de jugement, résolution de problèmes, prise de décision, élaboration, introspection. Il n’y avait au demeurant aucun suivi psychiatrique, qui n’était d’ailleurs pas indiqué. La capacité de travail était ainsi entière sur le plan psychiatrique. b) Les rapports émis par les Dr C.________ et X.________ antérieurement à l’expertise ont été pris en compte dans les évaluations expertales. Leurs conclusions, en particulier relatives à l’évaluation de la capacité de travail, sont peu motivées et ne tiennent pas compte des ressources de la recourante, ni de la capacité de travail qu’elle a démontrée lors de la mesure de réintégration. Dans un rapport du 26 août 2020, le Dr C.________ avait indiqué une incapacité de travail de 10 % dès le 1er septembre 2020 et, sans objectiver de péjoration, il a retenu, dans un rapport du 11 novembre 2020, une incapacité de travail de 50 % dès le</w:t>
      </w:r>
    </w:p>
    <w:p>
      <w:r>
        <w:rPr>
          <w:b/>
        </w:rPr>
        <w:t>E. 8</w:t>
      </w:r>
    </w:p>
    <w:p>
      <w:r>
        <w:t>octobre 2020. Cette modification du taux n’est pas motivée et intervient après que la recourante a reçu l’avis de résiliation de son contrat de travail. L’influence de ce facteur contextuel n’est toutefois pas pertinente, la recourante ayant au demeurant été en mesure de travailler au taux de 80 % les mois précédents.</w:t>
      </w:r>
    </w:p>
    <w:p>
      <w:r>
        <w:t>- 19 - Les rapports médicaux au dossier ne permettent pas de mettre en cause les conclusions objectives des experts. C’est donc à juste titre que l’intimé a retenu une capacité de travail de 80 % dans l’activité habituelle dès le 23 septembre 2019. L’évolution à 90 % dès le 14 septembre 2020 n’est en revanche pas suffisamment motivée dès lors qu’elle va à l’encontre des conclusions de l’expertise et repose sur une attestation du Dr C.________ également pas étayée, antérieure à l’expertise. Cela n’a toutefois pas d’incidence sur le sort du recours. c) La recourante soutient que sa capacité de travail s’élève à 50 % et se réfère en particulier à des rapports médicaux postérieurs à l’expertise, notamment un rapport du Dr C.________ du 16 mai 2022 selon lequel l’atteinte neurologique à la suite de la mise en place de la PTG droit n’a que très partiellement récupéré avec persistance d’une faiblesse et d’un pied tombant au niveau de son membre inférieur droit nécessitant le port d’une attelle anti-step et la persistance de paresthésie et dysesthésie fortement handicapantes. Ce médecin a indiqué que la recourante se déplaçait avec difficulté, nécessitant deux cannes et, au vu de son surpoids important, elle était rapidement épuisée et ne pouvait plus fonctionner professionnellement qu’à 50 %. Il a ajouté qu’une reprise à 100 % était difficilement réalisable et qu’il lui paraissait raisonnable de penser que la capacité de travail était de 50 % depuis le 8 octobre 2020. Or ce certificat n’apporte aucun élément qui n’aurait pas été analysé par les experts et qui permettrait de jeter le doute sur leur appréciation. Aucun examen clinique ne vient appuyer ses affirmations et l’appréciation du taux de capacité de travail relève plus d’un avis du médecin, inspiré par les déclarations de sa patiente, que d’une véritable appréciation médicale motivée de manière objective. Au demeurant, dans un rapport du 9 décembre 2020, le Dr C.________ a attesté d’une capacité de travail de 80 à 90 % dans une activité assise adaptée en précisant que l’état était stationnaire et les rapports médicaux postérieurs n’évoquent pas d’aggravation objective de l’état de santé de la recourante.</w:t>
      </w:r>
    </w:p>
    <w:p>
      <w:r>
        <w:t>- 20 - Cette dernière se prévaut aussi d’un rapport du Dr C.________ du 1er février 2023 qui n’apporte rien de nouveau sur les atteintes déjà connues et sur son évaluation de la capacité de travail. S’agissant de la hernie, le Dr X.________ avait relevé dans son rapport du 12 juillet 2021 qu’elle était asymptomatique ; aucun élément médical ne vient objectiver une aggravation de cette atteinte de manière à avoir une incidence sur la capacité de travail telle que retenue. Quant à la cox-arthrose de la hanche gauche, il est indiqué qu’elle a été traitée par des infiltrations pour juguler cette douleur débutante ; aucune limitation fonctionnelle supplémentaire à celles retenues n’est invoquée en lien avec cette atteinte. La recourante a produit encore le rapport du Prof H.________ du 29 octobre 2021 indiquant qu’elle avait subi une intervention pour déplacer la pile du système de stimulation ; le prof H.________ a cependant précisé que l’intervention s’était déroulée sans particularité. Puis la recourante a produit un rapport du 23 janvier 2023 du Dr X.________ qui mentionne un déplacement de la sonde de 4 millimètres opéré avec un résultat satisfaisant et une infiltration périradiculaire S1 qui a permis de réduire la douleur ; ce médecin a conclu que ces interventions avaient été bénéfiques sur les douleurs de la recourante mais que la situation n’était toujours pas idéale. Ce rapport, dont les éléments postérieurs à la décision ne doivent pas être pris en compte (TF 9C_47/2022 du 22 novembre 2022 consid. 5.1.2), ne comporte pas d’indication nouvelle déterminante sur l’état de fait litigieux. La recourante évoque en outre des difficultés avec son stimulateur, sans démontrer qu’elles induisent des limitations fonctionnelles nouvelles durables, comme on l’a vu plus haut, et rappelle les aménagements effectués à son domicile. Or ces éléments ont été pris en compte dans l’appréciation faite par les experts. S’agissant en particulier des moyens auxiliaires, les experts ont évoqué leur perplexité face à leur utilisation compte tenu de la pathologie existante. Les griefs de la recourante quant à l’évaluation de sa capacité de travail sont donc mal fondés.</w:t>
      </w:r>
    </w:p>
    <w:p>
      <w:r>
        <w:t>- 21 - d) La recourante conteste la date d’ouverture de son droit à la rente. Elle estime qu’elle a présenté une incapacité dans l’exercice de son activité professionnelle habituelle d’au moins 50 % depuis le 8 octobre 2020. Or ce moyen a été tranché et écarté plus haut. En l’absence d’une incapacité de travail induisant une invalidité de 40 % au moins six mois après la date du dépôt de la requête (art. 29 LAI), le droit à la rente n’est pas ouvert, comme l’a retenu à juste titre l’intimé. 4. A titre de mesure d’instruction, la recourante a requis la mise en œuvre d’une expertise médicale judiciaire, d’une inspection locale et de son audition personnelle. Comme démontré plus avant, les éléments au dossier sont suffisants pour permettre à la Cour des assurances sociales de se prononcer et de renoncer à requérir un complément d’instruction sous la forme d’une expertise, d’une inspection locale et de l’audition de la recourante. Par conséquent, il n’y a pas lieu de donner suite à cette requête.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5. a) En conclusion,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w:t>
      </w:r>
    </w:p>
    <w:p>
      <w:r>
        <w:t>- 22 - 600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