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ZD22.049031 vom 10. April 2024</w:t>
      </w:r>
    </w:p>
    <w:p>
      <w:r>
        <w:t>VD Tribunal cantonal, 2024-04-10, FR</w:t>
      </w:r>
    </w:p>
    <w:p>
      <w:r>
        <w:rPr>
          <w:b/>
        </w:rPr>
        <w:t xml:space="preserve">Quelle: </w:t>
      </w:r>
      <w:r>
        <w:t>https://mcp.opencaselaw.ch/entscheid/vd_gerichte_ZD22.049031</w:t>
      </w:r>
    </w:p>
    <w:p>
      <w:r>
        <w:t>FR: VD_GERICHTE ZD22.049031 du 10 avril 2024</w:t>
      </w:r>
    </w:p>
    <w:p>
      <w:r>
        <w:t>IT: VD_GERICHTE ZD22.049031 del 10 aprile 2024</w:t>
      </w:r>
    </w:p>
    <w:p>
      <w:pPr>
        <w:pStyle w:val="Heading2"/>
      </w:pPr>
      <w:r>
        <w:t>Erwägungen</w:t>
      </w:r>
    </w:p>
    <w:p>
      <w:r>
        <w:rPr>
          <w:b/>
        </w:rPr>
        <w:t>E. 3</w:t>
      </w:r>
    </w:p>
    <w:p>
      <w:r>
        <w:t>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b) Le litige porte en l’espèce sur le droit du recourant à une rente d’invalidité, singulièrement, sur son degré d’invalidité.</w:t>
      </w:r>
    </w:p>
    <w:p>
      <w:r>
        <w:t>- 10 -</w:t>
      </w:r>
    </w:p>
    <w:p>
      <w:r>
        <w:rPr>
          <w:b/>
        </w:rPr>
        <w:t>E. 4</w:t>
      </w:r>
    </w:p>
    <w:p>
      <w:r>
        <w:t>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et (c.) au terme de cette année, il est invalide (art. 8 LPGA) à 40 % au moins (art. 28 al. 1 LAI). c) aa) Les affections psychiques, les affections psychosomatiques et les syndromes de dépendance à des substances psychotropes doivent en principe faire l’objet d’une procédure probatoire structurée (ATF 145 V 215 ; 143 V 418 consid. 6 et 7 ; 141 V 281 et les références citées). bb) Il convient en premier lieu que l’atteinte soit diagnostiquée par l’expert selon les règles de l’art (ATF 141 V 281 consid. 2.1.2 et 2.2).</w:t>
      </w:r>
    </w:p>
    <w:p>
      <w:r>
        <w:t>- 11 - Le diagnostic doit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symptômes décrits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w:t>
      </w:r>
    </w:p>
    <w:p>
      <w:r>
        <w:t>- 12 -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w:t>
      </w:r>
    </w:p>
    <w:p>
      <w:r>
        <w:rPr>
          <w:b/>
        </w:rPr>
        <w:t>E. 4.3</w:t>
      </w:r>
    </w:p>
    <w:p>
      <w:r>
        <w:t>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w:t>
      </w:r>
    </w:p>
    <w:p>
      <w:r>
        <w:t>- 13 - due à d’autres raisons qu’à une atteinte à la santé assurée (ATF 141 V 281 consid. 4.4 et les références citées). d)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- 14 - f) La jurisprudence attache une présomption d’objectivité aux expertises confiées par l’administration à des médecins spécialistes externes, ainsi qu’aux expertises judiciaires pour résoudre un cas litigieux. Pour 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 TF 9C_748/2013 du 10 février 2014 consid. 4.1.1). Cela vaut également lorsqu’un ou plusieurs médecins ont émis une opinion divergente de celle de l’expert (TF 9C_268/2011 du 26 juillet 2011 consid. 6.1.2 et les références).</w:t>
      </w:r>
    </w:p>
    <w:p>
      <w:r>
        <w:rPr>
          <w:b/>
        </w:rPr>
        <w:t>E. 5</w:t>
      </w:r>
    </w:p>
    <w:p>
      <w:r>
        <w:t>a) En l’espèce, au terme de l’instruction qu’il a menée, l’intimé a retenu que pour des motifs de santé l’assuré avait présenté une incapacité de travail ininterrompue dès le mois d’avril 2019 et que, depuis le mois de janvier 2020, sa capacité de travail était entière dans toute activité. Des mesures professionnelles n’étaient pas nécessaires. Compte tenu de la durée de l’incapacité de travail, inférieure à un an, le droit à la rente n’était pas ouvert. De son côté, le recourant conteste ce point de vue. Ses principaux griefs concernent les conclusions de l’OAI quant à la capacité de travail de 100 % telle que retenue sur la base de l’expertise du V.________, laquelle est qualifiée d’aberrante lorsqu’elle mentionne l’absence de diagnostic incapacitant. Le recourant met par ailleurs en avant le fait que le Dr A.__________ a attesté d’une incapacité de travail de 100 % à compter d’avril 2019 puis de 60 % depuis juin 2019, incapacité qui perdure jusqu’à ce jour selon le psychiatre traitant. Le recourant estime avoir droit à une rente entière de l’assurance-invalidité. b) Sur le plan somatique, en l’absence de contestation entre les parties, on rappellera que les douleurs à la nuque annoncées par le Dr A.__________ dans ses rapports des 16 décembre 2020 et 13 janvier 2021 ont été investiguées par l’intimé auprès du Dr I._________. Ce médecin a</w:t>
      </w:r>
    </w:p>
    <w:p>
      <w:r>
        <w:t>- 15 - répondu le 14 mai 2021 que les diagnostics ayant une répercussion sur la capacité de travail de l’assuré restaient d’origine psychiatrique en renvoyant auprès du psychiatre traitant pour plus de précision. Du point de vue du Dr I._________, il n’existait pas de limitations fonctionnelles d’ordre strictement somatique. c) aa) Sur le plan psychiatrique, quant à la forme, le rapport d’expertise psychiatrique du V.________ du 4 avril 2022 (avec un bilan neuropsychologique) remplit toutes les exigences auxquelles la jurisprudence soumet la valeur probante d’un tel document (cf. consid. 4e supra). Fruit d’un examen approfondi du cas (un entretien d’une durée d’une heure et trente-cinq minutes a eu lieu en décembre 2021 avec l’expert psychiatre et un examen neurologique d’une durée de deux heures et demi a été pratiqué en février 2022), il repose sur des investigations fouillées. S’ouvrant par une anamnèse avec une description détaillée et représentative d’une journée type, le rapport décrit le contexte médical et assécurologique déterminant (sur la base de la prise en compte de l’ensemble du dossier mis à disposition de l’expert), prend en compte les plaintes du recourant, relate le status, de même qu’il rend compte des observations effectuées en répondant par ailleurs de manière ciblée aux questions complémentaires de l’administration. Pour son évaluation de la capacité de travail, l’expert a examiné les ressources et a également apprécié la cohérence de la plausibilité ainsi que le profil d’effort en fonction de la mini CIF-APP. Il a en outre dûment motivé ses conclusions et a distingué les éléments subjectifs, basés sur les plaintes exprimées, et ses propres constatations médicales pour évaluer la capacité de travail. En l’absence de limitations fonctionnelles, l’expert évalue la capacité de travail de l’assuré à 100 % dans toute activité. L’expertise ne souffre pas de contradictions ni de défaut manifeste. bb) Sur le fond, l’expert psychiatre du V.________ (le Dr O.________) prend le soin, à la rubrique « évaluation et classification des troubles par rapport aux évaluations antérieures » de son rapport du 4 avril 2022, d’expliquer en détail les motifs pour lesquels il se distancie de l’analyse du psychiatre traitant. L’évaluation d’une incapacité de travail de</w:t>
      </w:r>
    </w:p>
    <w:p>
      <w:r>
        <w:t>- 16 - 100 % par le Dr A.__________, lequel s’appuie notamment sur le premier bilan neuropsychologique datant de janvier 2020, n’est pas convaincante. En effet, comme le relève l’expert psychiatre, le second bilan réalisé le 4 février 2022 dans le cadre de l’expertise psychiatrique au V.________ ne permet pas de démontrer de troubles sur l’axe neuropsychologique. Cet examen d’une durée de deux heures et demi donnant chez l’assuré l’impression de disposer de bonnes ressources, paraissant non fatigable et à la mimique abattue comparativement au bilan précédent, retient une amélioration du score à un test gnosique visuel, un léger fléchissement en mémoire de travail, la persistance d’un trouble mnésique épisodique verbal et un ralentissement. Le profil cognitif ne peut être considéré valide en raison des incohérences observées sur le plan extrinsèque notamment. Dans ce contexte, il est ardu d’attribuer les difficultés observées à une étiologie déterminée ainsi que de se prononcer sur la sévérité du trouble neuropsychologique et ses réelles limitations. Aucune pathologie psychiatrique incapacitante n’est donc retrouvée lors du second bilan neuropsychologique en février 2022. L’expert psychiatre du V.________ ne retient pas de diagnostic incapacitant mais uniquement un trouble anxieux et dépressif mixte (F41.2) sans répercussion sur la capacité de travail de l’assuré. Selon les constatations de son examen du 2 décembre 2021, il ne retrouve pas de symptôme objectif en faveur d’un trouble dépressif significatif ou d’un trouble anxieux caractérisé et incapacitant. Aucun ralentissement psychomoteur, ni anhédonie, ni tristesse pathologique, ni trouble de l’attention, de la concentration, de la mémoire ne sont constatés, ni fatigue ou fatigabilité, ni baisse de l’attention ou de la concentration. L’examen clinique, l’anamnèse et l’analyse du déroulé de la journée type permettent de retenir le diagnostic de trouble anxieux et dépressif mixte qui comprend à la fois des symptômes anxieux et des symptômes dépressifs relativement mineurs dont l’intensité est insuffisante pour justifier un diagnostic de dysthymie ou de troubles anxieux caractérisés, voire autres. Aux dires de l’expert psychiatre, cette association de symptômes est fréquemment rencontrée dans le cadre des</w:t>
      </w:r>
    </w:p>
    <w:p>
      <w:r>
        <w:t>- 17 - soins primaires. Il ajoute que ce cas est également fréquent dans la population générale, sans que ces troubles n’entraînent une consultation que ce soit en médecine générale ou en psychiatrie. Selon l’expert psychiatre du V.________, ce trouble n’a donc aucune répercussion sur la capacité de travail. Les performances obtenues ne sont pas cohérentes avec les constatations objectives lors de l’examen, ni avec les activités menées au quotidien chez le recourant. En particulier, le diagnostic d’épisode dépressif moyen n’est pas partagé avec le psychiatre traitant ni la présence de troubles cognitifs significatifs. Par ailleurs, les troubles anxieux n’ont pas de caractère incapacitant sur la base de l’anamnèse et de l’examen clinique, sans compter le fait que de nombreuses divergences et incohérences sont retrouvées, que ce soit entre les données de l’examen clinique et les plaintes du recourant, entre ses plaintes et le descriptif de ses activités ménagères, de loisirs ou de distractions, et des incohérences sont également relevées lors de la passation de l’évaluation neuropsychologique qui n’est, tout simplement, pas valide. En raison de ces incohérences, aucune incapacité de travail pour motif psychiatrique n’est retenue. cc) Le constat clinique de l’expertise psychiatrique du V.________ est quasi superposable à ce qui est écrit dans l’expertise mise en œuvre par l’assurance perte gain maladie [...]. Le rapport d’expertise daté du 18 janvier 2020 du Dr P.________ retenait un trouble panique et un épisode dépressif léger sans syndrome somatique, et ne mentionnait ni incapacité de travail pour motif psychiatrique ni aucune limitation fonctionnelle. Cette expertise retenait déjà des plaintes subjectives de l’assuré qui étaient plus importantes que ce que l’on observait. Il y avait la description d’une fatigue ainsi que d’une baisse d’énergie. Cela n’était toutefois pas observé. L’humeur n’était pas fortement abaissée. La capacité d’éprouver du plaisir était quelque peu réduite mais pas abolie, et l’expert ne pouvait pas considérer qu’il y avait une diminution marquée de l’intérêt et du plaisir. En revanche, l’assuré était clairement moins réceptif à des éléments positifs ce que lui faisaient remarquer ses enfants.</w:t>
      </w:r>
    </w:p>
    <w:p>
      <w:r>
        <w:t>- 18 - Le Dr P.________ ne retenait pas de symptôme du critère B d’un épisode dépressif, vu le peu de sévérité de ces trois symptômes. De son côté, l’assuré ne décrivait pas véritablement de troubles cognitifs hormis à quelques exceptions près lorsqu’il se sentait plus anxieux mais de tels troubles n’avaient pas été observés par l’expert. Pour le Dr P.________ les plaintes subjectives étaient plus importantes que les constatations objectives en ce qui concernait notamment la description de fatigue qu’il n’avait pas observée. Il y avait la description d’une augmentation de la fatigabilité qui n’était pas retrouvée non plus. Compte tenu du peu de sévérité du trouble panique et du trouble de l’humeur, l’expert ne retenait pas non plus de limitations fonctionnelles. Au terme de son examen du 9 janvier 2020, il considérait M.________ comme étant apte à reprendre une activité professionnelle à 100 %. Finalement, les deux experts psychiatres (les Drs P.________ et O.________) forment les mêmes appréciations concernant la capacité de travail entière du recourant dans toute activité. d) Le dossier ne contient aucun document médical susceptible de faire douter du bien-fondé de l’expertise psychiatrique du V.________. Il convient de préciser en premier lieu que les deux experts psychiatres ont évalué la capacité de travail en appliquant les indicateurs standards (cf. consid. 4c supra), notamment ceux relatifs à la cohérence, ce qui est susceptible d’expliquer la différence d’appréciation entre le psychiatre traitant et l’expert. Ni le recourant, ni le Dr A.__________ n’apportent d’élément permettant de s’écarter des expertises précitées ou de justifier un complément d’instruction. En particulier, l’expert psychiatre du V.________ (le Dr P.________ l’avait fait également) a tenu compte des diagnostics posés par le DrA.__________ (dans ses rapports des 4 février, 6 novembre et 16 décembre 2020).</w:t>
      </w:r>
    </w:p>
    <w:p>
      <w:r>
        <w:t>- 19 - Le 4 février 2020, le psychiatre traitant retient les diagnostics de trouble panique depuis 2013 et d’épisode dépressif moyen avec syndrome somatique depuis l’été 2019, tout en estimant que les limitations fonctionnelles sont liées aux attaques de panique alors que ce trouble existe depuis 2013 et n’a pas entraîné d’incapacité notable au niveau du travail. Dans son rapport du 6 novembre 2020, il décrit des attaques de panique deux fois par semaine avec une entrée en chronicisation sans changement de traitement et sans prévision de modification, et une capacité de travail d’au maximum 40 %. Enfin, le 16 décembre 2020, le Dr A.__________ annonce une mauvaise évolution avec entrée en chronicité et des angoisses, des douleurs à la nuque, une impression de s’étrangler, de s’étouffer. Il rapporte une incapacité de travail de 100 % dès le 18 décembre 2020. Or l’expert O.________ indique qu’il n’a pas constaté, lors de son examen clinique le 2 décembre 2021, de trouble de la concentration, de l’attention ou de la mémoire durant tout l’entretien. L’examen neuropsychologique du 4 février 2022 met en évidence des problèmes de cohérence et ne remplit pas les critères de validation de l’évaluation neuropsychologique. Par ailleurs, les critères de définition d’un épisode dépressif, quelle qu’en soit l’intensité, ne sont pas retrouvés, de même que la dimension incapacitante des crises d’angoisse qui surviennent, ne se manifestent ni dans les activités de la vie quotidienne, ni dans les activités de distraction et de loisirs. Elles ne sont en outre pas constatées lors de l’examen clinique pourtant anxiogène de par le cadre où se déroule l’entrevue et de par les enjeux que comporte cet examen. Ainsi, aucune pathologique psychiatrique incapacitante n’a été mise en évidence par l’expert psychiatre du V.________. Le Dr A.__________ ne fournit aucune indication ou explication sur l’évaluation de la cohérence et de la plausibilité opérée par l’expert. Il n’explique pas l’incohérence entre les limitations fonctionnelles que l’assuré rapporte dans l’exercice de son activité professionnelle et au cours des mesures de réadaptation passées alors qu’il n’en décrit aucune dans les activités de la vie quotidienne et les activités de loisirs, qui sont</w:t>
      </w:r>
    </w:p>
    <w:p>
      <w:r>
        <w:t>- 20 - pourtant nombreuses et astreignantes physiquement. Le recourant explique en effet qu’il fait 13'000 pas par jour, qu’il effectue les grosses courses, qu’il peut passer l’aspirateur, qu’il y a une année, il s’est inscrit à un club de vétérans du football à [...] où il a joué trois ou quatre matchs et qu’il n’a arrêté que parce qu’il s’est blessé au genou. Le psychiatre traitant ne donne pas d’explication non plus sur les divergences entre les plaintes de l’assuré et son comportement en situation d’examen où il n’est pas retrouvé des troubles de la concentration, de l’attention, ni de la mémoire cliniquement significatifs. De plus, aucun symptôme neurovégétatif objectif en faveur d’un état anxieux n’est retrouvé dans une situation clinique objectivement stressante et comportant de nombreux enjeux pour l’avenir de l’assuré. Il existe pourtant des autolimitations entre les plaintes et le descriptif de la journée type d’une part et entre les plaintes et le comportement de la personne assurée en situation d’examen d’autre part. A cela il convient d’ajouter encore que le psychiatre traitant signale une chronicisation des troubles mais que de manière assez étonnante aucune modification significative du traitement n’a été opérée et que le traitement à base de la même molécule antidépressive (escitalopram) est maintenu depuis des années, alors que la stratégie thérapeutique usuelle aurait été d’améliorer le traitement par l’instauration d’une autre molécule. Il existe dès lors également une incohérence entre la stratégie thérapeutique et le constat d’une chronicisation et d’une résistance au traitement puisque ce dernier est resté le même et à des doses identiques depuis des années jusqu’au début de l’année 2020 où il a été augmenté à 30 milligrammes par jour. Dans son rapport du 4 février 2020, le Dr A.__________ reprochait à l’expert P.________ de ne pas avoir attendu les résultats de l’examen neuropsychologique contemporain qui mettraient en évidence un dysfonctionnement exécutif et attentionnel associé à des difficultés mnésiques légères, des difficultés aux gnosies visuelles. Or un examen neuropsychologique a également été demandé par l’assurance-invalidité. La conclusion du bilan réalisé en février 2022 par U.__________,</w:t>
      </w:r>
    </w:p>
    <w:p>
      <w:r>
        <w:t>- 21 - psychologue spécialiste en neuropsychologie FSP/certifiée SIM, retient un profil cognitif qui ne peut être considéré valide en raison des incohérences observées sur le plan extrinsèque notamment. Dans ce contexte et selon cette examinatrice, il est ardu d’attribuer les difficultés observées à une étiologie déterminée, ainsi que de se prononcer sur la sévérité du trouble neuropsychologique et de ses réelles limitations. La possibilité d’un trouble panique de degré léger et non incapacitant peut être discutée du fait de la description de symptômes neurovégétatifs en lien avec l’anxiété décrite par l’assuré, mais les troubles présentés sont de gravité moyenne. De manière générale, il convient de rappeler qu’il est admis, de jurisprudence constante, que le médecin traitant est généralement enclin, en cas de doute, à prendre parti pour son patient en raison du mandat thérapeutique et de la relation de confiance qui l’unit à ce dernier (ATF 135 V 465 consid. 4.5). Cela se manifeste particulièrement lorsque, comme en l’espèce, leurs avis rapportent principalement les plaintes de leur patient et lorsqu’ils ne tiennent pas compte des ressources dont disposent leur patient, en particulier dans le déroulement d’une journée type. Les avis successifs du psychiatre traitant sont en outre déficients quant à l’analyse des indicateurs posés par la jurisprudence fédérale et rappelés ci-dessus (consid. 4c supra). Or s’agissant des ressources, l’expert mentionne qu’elles sont nombreuses et qu’il n’y a pas de limitation fonctionnelle sur le plan psychiatrique. Il indique que la personne assurée bénéficie du soutien de membres de sa famille avec qui il est en contact régulier, de sa belle-famille et d’amis. Le critère du traitement n’est quant à lui pas contributif, l’expert s’interrogeant sur un problème de compliance au vu d’un taux retrouvé nettement plus élevé qu’attendu et au-dessus du seuil thérapeutique recommandé. Dernier élément mais pas des moindres, l’expert relève de nombreuses incohérences entre les limitations rapportées par l’assuré lors de son activité professionnelle et des mesures de réadaptation alors qu’il n’en décrit aucune dans les activités de la vie quotidienne, mettant à mal le critère de la cohérence et de la plausibilité. Tous ces éléments obligent à</w:t>
      </w:r>
    </w:p>
    <w:p>
      <w:r>
        <w:t>- 22 - sérieusement relativiser la portée de l’appréciation différente de la capacité de travail retenue par le psychiatre traitant en opposition à celle de l’expert qui n’est pas sérieusement ébranlée. e) Enfin, en tant que le recourant évoque l’échec des mesures de réadaptation entreprises entre le 9 mars et le 20 décembre 2020, il ne convainc pas davantage. C’est le lieu de rappeler que c’est la tâche du médecin de porter un jugement sur l’état de santé et d’indiquer dans quelle mesure et pour quelles activités l’assuré est incapable de travailler (ATF 140 V 193 consid. 3.2 ; 125 V 256 consid. 4 et les arrêts cités). C’est pourquoi les appréciations des médecins l’emportent sur les constatations qui peuvent être faites à l’occasion d’un stage d’observation professionnelle et qui sont susceptibles d’être influencées par des éléments subjectifs liés au comportement de l’assuré pendant le stage (TF 9C_605/2020 du 19 juillet 2021 consid. 5.4 ; TF 8C_713/2019 du 12 août 2020 consid. 5.2 et la référence). Or en l’espèce, les experts avaient connaissance de la situation d’échec vécue par le recourant lors de ce stage ce qui n’a toutefois pas modifié leur appréciation de la capacité de travail entière dans toute activité. Cette estimation n’est pas critiquable dès lors que l’origine du vécu du recourant dans le cadre des mesures dont il a bénéficié de la part de l’intimé par le passé n’est pas mise en relation avec un déficit mais tout au plus avec un accroissement des symptômes. f) Des conclusions du rapport d’expertise psychiatrique du V.________ pleinement probant et corroboré par celui daté du 18 janvier 2020 du Dr P.________, il ressort que depuis le 9 janvier 2020, le recourant présente une capacité de travail totale dans toutes activités. Or au vu d’une incapacité de travail ininterrompue attestée d’avril 2019 à décembre 2020 par le psychiatre traitant (le Dr A.__________), retenue par le SMR puis par l’OAI dans sa décision litigieuse, on ne peut que constater que la durée de l’incapacité de travail, inférieure à un année, exclut le droit à la rente (cf. art. 28 al. 1 let. b - c LAI), conformément à ce qu’a retenu l’OAI au terme de la décision attaquée.</w:t>
      </w:r>
    </w:p>
    <w:p>
      <w:r>
        <w:t>- 23 -</w:t>
      </w:r>
    </w:p>
    <w:p>
      <w:r>
        <w:rPr>
          <w:b/>
        </w:rPr>
        <w:t>E. 6</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145 I 167 consid. 4.1 ; 140 I 285 consid. 6.3.1 ; 130 II 425 consid. 2.1). b) En l’espèce, le dossier est complet et permet à la Cour de céans de statuer en sorte qu’il n’y a pas lieu de donner suite à la réquisition du recourant tendant à la mise en œuvre d’une expertise judiciaire afin de déterminer sa capacité de travail et, partant, son taux d’invalidité.</w:t>
      </w:r>
    </w:p>
    <w:p>
      <w:r>
        <w:rPr>
          <w:b/>
        </w:rPr>
        <w:t>E. 7</w:t>
      </w:r>
    </w:p>
    <w:p>
      <w:r>
        <w:t>a) Mal fondé, le recours doit par conséquent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d) Le recourant est au bénéfice de l’assistance judiciaire. Les frais judiciaires mis à sa charge ci-avant sont donc provisoirement supportés par l’Etat et Me Véronique Fontana peut prétendre une équitable indemnité pour son mandat d’office. Après examen de la liste déposée le 14 février 2024, ces opérations, vérifiées d’office, sont justifiées. L’indemnité de Me Fontana est ainsi arrêtée à 2'972 fr. 75 ([9 heures × 180 fr.] + 5 % [débours ; cf. art. 3bis al. 1 RAJ] + 7,7 % [TVA 2023] + ([5 heures et 35 minutes × 180 fr.] + 5 % [débours ; cf. art. 3bis</w:t>
      </w:r>
    </w:p>
    <w:p>
      <w:r>
        <w:t>- 24 - al. 1 RAJ] + 8,1 % [TVA 2024]), débours et TVA compris pour la période du 1er juin 2023 au 12 février 2024. e)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