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ZD22.047664 vom 14. März 2024</w:t>
      </w:r>
    </w:p>
    <w:p>
      <w:r>
        <w:t>VD Tribunal cantonal, 2024-03-14, FR</w:t>
      </w:r>
    </w:p>
    <w:p>
      <w:r>
        <w:rPr>
          <w:b/>
        </w:rPr>
        <w:t xml:space="preserve">Quelle: </w:t>
      </w:r>
      <w:r>
        <w:t>https://mcp.opencaselaw.ch/entscheid/vd_gerichte_ZD22.047664</w:t>
      </w:r>
    </w:p>
    <w:p>
      <w:r>
        <w:t>FR: VD_GERICHTE ZD22.047664 du 14 mars 2024</w:t>
      </w:r>
    </w:p>
    <w:p>
      <w:r>
        <w:t>IT: VD_GERICHTE ZD22.047664 del 14 marzo 2024</w:t>
      </w:r>
    </w:p>
    <w:p>
      <w:pPr>
        <w:pStyle w:val="Heading2"/>
      </w:pPr>
      <w:r>
        <w:t>Erwägungen</w:t>
      </w:r>
    </w:p>
    <w:p>
      <w:r>
        <w:rPr>
          <w:b/>
        </w:rPr>
        <w:t>E. 3</w:t>
      </w:r>
    </w:p>
    <w:p>
      <w:r>
        <w:t>Sur le plan formel, la recourante a reproché à l’intimé d’avoir violé son droit d’être entendue en lui communiquant l’expertise du Centre d'expertises Z.________ SA de manière tardive et en lui refusant une prolongation de délai pour produire une expertise privée et pour s’exprimer de manière exhaustive avant que la décision ne soit rendue. 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Une condition nécessaire du droit de consulter le dossier est que l’autorité, lorsqu’elle verse au dossier de nouvelles pièces dont elle</w:t>
      </w:r>
    </w:p>
    <w:p>
      <w:r>
        <w:t>- 11 - entend se prévaloir dans sa décision, soit tenue d’en aviser les parties (ATF 143 IV 380 consid. 1.1 ; 132 V 387 consid. 3.1). Le droit d’être entendu comprend également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Le droit d’être entendu est une garantie de nature formelle, dont la violation entraîne en principe l'annulation de la décision attaquée, indépendamment des chances de succès du recours sur le fond (ATF 142 II 218 consid. 2.8.1 ; 142 III 360 consid. 4.1.4 ; 137 I 195 consid. 2.2). Cette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A teneur de l’art. 57a al. 1 LAI, au moyen d’un préavis, l’office AI communique à l’assuré toute décision finale qu’il entend prendre au sujet d’une demande de prestations, ou au sujet de la suppression ou</w:t>
      </w:r>
    </w:p>
    <w:p>
      <w:r>
        <w:t>- 12 - de la réduction d’une prestation déjà allouée, ainsi que toute décision qu’il entend prendre au sujet d’une suspension à titre provisionnel des prestations. Selon l’al. 3 de cette disposition (en vigueur depuis le 1er janvier 2021 à la suite de la modification de la LPGA et applicable en l’espèce ; RO 2020 5143), les parties peuvent faire part de leurs observations concernant le préavis dans un délai de 30 jours. Ce délai est un délai légal non prolongeable (FF 2018, p. 1636 s). La recourante ne saurait donc reprocher à l’OAI de lui avoir refusé une deuxième prolongation du délai au 30 avril 2022, ce qu’elle n’a d’ailleurs pas fait arguant au contraire du fait que le délai dont la prolongation était requise ne concernait pas l’art. 57a al. 3 LAI et pouvait dès lors être prolongé (cf. courrier du 25 janvier 2022). c) S’agissant du fait que l’expertise aurait été transmise à la recourante de manière tardive, on constatera tout d’abord que le rapport d’expertise du 2 septembre 2021 a été transmis au médecin traitant de la recourante le 8 octobre 2021 (cf. courriel du 6 octobre 2021) et qu’il lui aurait alors été loisible d’en demander une copie. Son mandataire a par ailleurs reçu une copie du dossier AI sur CD-ROM envoyé le 3 novembre 2021 par l’OAI, à savoir plus de trois mois avant que la décision du 3 février 2022 ne soit rendue. Ainsi, la recourante a bénéficié du temps nécessaire entre le projet de décision du 28 septembre 2021 et la décision litigieuse du 3 février 2022 pour déposer de nouvelles pièces médicales durant la procédure administrative. On constatera d’ailleurs que l’intéressée a eu l’occasion de se déterminer à plusieurs reprises (cf. courriers de l’assurée des 1er novembre, 3 décembre 2021, 7 et 25 janvier 2022) mais qu’elle s’est limitée à dénoncer son mécontentement à ne pas voir son avis suivi sans toutefois démontrer ses propos. La recourante avait au demeurant annoncé la production d’une contre-expertise et indiqué vouloir compléter ses observations. Si l’on peut admettre que le délai imparti était par trop restreint pour produire le rapport d’une contre-expertise, il faut reconnaître qu’il était à tout le moins suffisant pour produire de nouveaux rapports médicaux et compléter ses observations en indiquant au minimum ce qu’elle contestait</w:t>
      </w:r>
    </w:p>
    <w:p>
      <w:r>
        <w:t>- 13 - dans l’expertise du Centre d'expertises Z.________ SA. Il convient également de relever que la recourante n’a pas même transmis un courrier, une convocation ou tout autre document attestant de ses démarches auprès d’un expert psychiatre, la seule communication du nom de l’expert convoité ne suffisant pas encore, de sorte que l’OAI ne disposait d’aucun moyen de vérifier que de telles démarches avaient été entreprises. Au surplus, le droit de faire administrer des preuves sur des faits pertinents n’empêche toutefois pas l’autorité, selon la jurisprudence,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130 II 425 consid. 2.1), ce que l’OAI a en l’occurrence indiqué dans son courrier du 3 février 2022. C’est ainsi à bon droit que l’intimé a, en se fondant sur les pièces existantes au dossier, procédé à l’appréciation des preuves qu’il appartenait cas échéant à la recourante de contester par une motivation adéquate compte tenu de sa représentation par un avocat spécialisé de surcroît. Enfin, dans la procédure de recours, il était encore temps pour la recourante de produire une contre-expertise ou toute autre pièce médicale permettant d’établir ses allégations, ce qu’elle n’a pas fait alors même que la Cour de céans jouit d’un plein pouvoir d’examen (cf. consid. 3a supra). On relèvera encore que le Tribunal fédéral a considéré qu’un délai de plus de trois mois pour se déterminer et déposer ses moyens de preuve devait être qualifié de raisonnable sinon l’administration risquerait de devoir suspendre indéfiniment le traitement de ce genre de demande (TF 9C_160/2023 du 17 octobre 2023 consid. 3.2).</w:t>
      </w:r>
    </w:p>
    <w:p>
      <w:r>
        <w:t>- 14 - En définitive, le grief de violation du droit d’être entendu doit être rejeté.</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- 15 -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a) Pour fixer le degré d’invalidité, l’administration – en cas de recours, le juge – se fonde sur des documents médicaux, ainsi que, le cas échéant, des documents émanant d’autres spécialistes pour</w:t>
      </w:r>
    </w:p>
    <w:p>
      <w:r>
        <w:t>- 16 -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w:t>
      </w:r>
    </w:p>
    <w:p>
      <w:r>
        <w:t>- 17 - conclusions sont sérieusement motivées, que ces avis ne contiennent pas de contradictions et qu'aucun indice concret ne permet de mettre en cause leur bien-fondé (ATF 125 V 351 consid. 3b/ee et la référence citée ; TF 8C_565/2008 du 27 janvier 2009 consid. 3.3.2).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du rapport du 2 septembre 2021 et rapport du 1er février 2021). cc) Force est de constater que le dossier ne contient aucun document médical concernant le volet psychiatrique susceptible de faire douter des conclusions de l’expert N.________, ni de démontrer une quelconque aggravation de l’état de santé de la recourante. A cet égard, on relèvera que la recourante n’a même pas fait état d’une quelconque aggravation, se contentant d’indiquer les mêmes troubles en 2014 qu’en 2019. C’est ainsi à bon droit que l’OAI a diligenté une expertise par manque de documentation et s’est fondé sur les conclusions de l’expertise</w:t>
      </w:r>
    </w:p>
    <w:p>
      <w:r>
        <w:t>- 21 - du 2 septembre 2021 pour retenir que la recourante présentait une pleine capacité de travail tant dans l’activité habituelle que dans une activité adaptée depuis toujours. Les conditions du droit à la rente, à savoir en particulier que l’assurée ait présenté une incapacité de travail d’au moins 40 % en moyenne durant une année sans interruption notable et qu’au terme de cette année, elle soit invalide à 40 % au moins (art. 28 al. 1 let. b et c LAI), ne sont ainsi pas réalisées et le droit à des prestations de l’assurance-invalidité doit ainsi être nié à la recourante.</w:t>
      </w:r>
    </w:p>
    <w:p>
      <w:r>
        <w:rPr>
          <w:b/>
        </w:rPr>
        <w:t>E. 7</w:t>
      </w:r>
    </w:p>
    <w:p>
      <w:r>
        <w:t>a) Au vu de ce qui précède,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