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ZD22.047472 vom 7. November 2023</w:t>
      </w:r>
    </w:p>
    <w:p>
      <w:r>
        <w:t>VD Tribunal cantonal, 2023-11-07, FR</w:t>
      </w:r>
    </w:p>
    <w:p>
      <w:r>
        <w:rPr>
          <w:b/>
        </w:rPr>
        <w:t xml:space="preserve">Quelle: </w:t>
      </w:r>
      <w:r>
        <w:t>https://mcp.opencaselaw.ch/entscheid/vd_gerichte_ZD22.047472</w:t>
      </w:r>
    </w:p>
    <w:p>
      <w:r>
        <w:t>FR: VD_GERICHTE ZD22.047472 du 7 novembre 2023</w:t>
      </w:r>
    </w:p>
    <w:p>
      <w:r>
        <w:t>IT: VD_GERICHTE ZD22.047472 del 7 novembre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 d’invalidité (al. 2), un taux d’invalidité supérieur ou égal à 70 % donnant</w:t>
      </w:r>
    </w:p>
    <w:p>
      <w:r>
        <w:t>- 10 - droit à une rente entière (al. 3), tandis qu’un taux d’invalidité compris entre 40 et 49 % donne droit à une rente de 25 % à 47.5 % (al. 4 ; chaque point d’invalidité supplémentaire augmentant la quotité de la rente de 2.5 %).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w:t>
      </w:r>
    </w:p>
    <w:p>
      <w:r>
        <w:t>- 11 -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En tant que le recourant expose que l’intimé ne lui a pas accordé une prolongation de délai suffisante pour compléter ses observations sur le projet de décision du 2 mai 2022, singulièrement pour produire les pièces médicales propres à attester de son niveau d’épuisement, le recourant, non représenté, semble implicitement faire grief à l’intimé d’avoir violé son droit d’être entendu, ce qu’il convient d’examiner en premier lieu. 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w:t>
      </w:r>
    </w:p>
    <w:p>
      <w:r>
        <w:t>- 12 - de s'exprimer devant une autorité de recours jouissant d'un plein pouvoir d'examen (ATF 127 V 431 consid. 3d/aa ; TF 8C_1001/2008 du 31 juillet 2009 consid. 2.2 et les références citées). c) A teneur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 3 de cette disposition (en vigueur depuis le 1er janvier 2021 à la suite de la modification de la LPGA ; RO 2020 5143), les parties peuvent faire part de leurs observations concernant le préavis dans un délai de 30 jours. Le message du Conseil Fédéral du 2 mars 2018 concernant la modification de la LPGA (FF 2018 1597) rappelle que les mesures de simplification de la procédure de l’AI, entrées en vigueur le 1er juillet 2006, ont réintroduit le préavis dans l’AI. Le délai de 30 jours accordé pour le contester a été réglé dans ce cadre à l’art. 73ter al. 1 RAI (règlement du 17 janvier 1961 sur l’assurance-invalidité ; RS 831.201). Selon l’ATF 143 V 71, le délai fixé au niveau de l’ordonnance pouvait être prolongé. Il ressortait cependant clairement de travaux préparatoires que telle n’était pas la volonté du législateur. Il importait donc d’inscrire dans la loi, à l’occasion de la révision de la LPGA, que ce délai de 30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30 jours ne semblait pas non plus problématique pour ce qui était de la protection du droit des assurés, étant donné qu’ils avaient également la possibilité de faire recours contre la décision dans un délai de 30 jours après que celle-ci leur avait été communiquée. Le Conseil</w:t>
      </w:r>
    </w:p>
    <w:p>
      <w:r>
        <w:t>- 13 - fédéral a dès lors conclu que le délai devait être inscrit à l’al. 3 de l’art. 57a LAI (cf. Message du Conseil fédéral précité ; FF 2018 1636 et 1637). d) En l’occurrence, il est établi que le délai de trente jours, désormais inscrit à l’art. 57a al. 3 LAI, est un délai légal et qu’il est de ce fait non prolongeable. On ne saurait par conséquent reprocher à l’intimé d’avoir refusé de prolonger au-delà du 6 septembre 2022 le délai pour fournir des observations sur le projet de décision du 2 mai 2022. Il aurait quoi qu’il en soit été loisible au recourant de produire dans le cadre de la présente procédure de recours les rapports médicaux dont il entendait se prévaloir, la Cour de céans étant doté d’un plein pouvoir d’examen. Une éventuelle violation du droit d’être entendu du recourant n’aurait dès lors pas pu être retenue.</w:t>
      </w:r>
    </w:p>
    <w:p>
      <w:r>
        <w:rPr>
          <w:b/>
        </w:rPr>
        <w:t>E. 6</w:t>
      </w:r>
    </w:p>
    <w:p>
      <w:r>
        <w:t>Pour le reste, le recourant conteste essentiellement la capacité de travail retenue par l’intimé dans une activité adaptée, en faisant en particulier état d’un épuisement chronique causé par la sclérose en plaques, dont l’intimé n’aurait pas tenu compte. En premier lieu, il convient de relever qu’il n’est pas contesté que l’activité habituelle de conducteur de [...] n’est plus exigible en raison de la nature des atteintes à la santé du recourant. Se pose toutefois la question de savoir si le recourant conserve une capacité de travail dans une activité adaptée et, dans l’affirmative, de quel taux. A cet égard, l’intimé retient, en se fondant sur le rapport du 21 février 2022 de la Dre Z.________, que le recourant dispose d’une capacité de travail de 60 % dans une activité adaptée à ses limitations fonctionnelles (pas de marche prolongée de plus de cinq kilomètres ou en terrain irrégulier, pas de montées et descentes d’escaliers répétées, pas de travaux en hauteur sur des échelles ou des échafaudages ainsi que nécessité d’avoir des toilettes à proximité du poste de travail). De son côté, le recourant soutient que l’intimé n’a pas pris en compte dans son appréciation la problématique de la fatigabilité qu’il met en avant.</w:t>
      </w:r>
    </w:p>
    <w:p>
      <w:r>
        <w:t>- 14 - Or, contrairement à l’avis du recourant, il appert, au vu des éléments au dossier, que tel a bien été le cas. En effet, dans son rapport du 21 février 2022, et alors que les problèmes de fatigabilité (chroniques) à l’effort du recourant lui étaient parfaitement connus (cf. notamment ses rapports des 5 mai, 27 juillet et 7 octobre 2021 ainsi que des 4 et 19 janvier 2022), la Dre Z.________ a conclu qu’il était en mesure d’exercer une activité adaptée à ses limitations fonctionnelles à 60 %. Ce point de vue a été confirmé par le médecin du SMR. Le rapport final du 16 mars 2022 du service de réadaptation de l’intimé et la décision litigieuse de ce dernier mentionnent du reste expressément que « la diminution de l’endurance physique et psychique (fatigabilité) justifi[e] une diminution de la [capacité de travail] », respectivement que la fatigabilité « est prise en compte dans l’appréciation du taux de capacité de travail résiduel de 60 % ». En outre, dans son rapport du 16 février 2022, le médecin- traitant du recourant, le Dr B.________, ne s’est pas prononcé sur la capacité de travail résiduelle de son patient, se contentant de renvoyer aux appréciations de la Dre Z.________. Pour le surplus, ni le recourant, ni aucun des médecins consultés ne font état d’une atteinte sur le plan psychique, respectivement d’un suivi et/ou d’un traitement à ce niveau, qui serait antérieur à la décision attaquée. Dans ces conditions, et en l’absence d’éléments objectifs propres à remettre en cause les appréciations de la Dre Z.________ et du Dr Q.________ du SMR, l’intimé était fondé à retenir que le recourant conserve une capacité de travail résiduelle de 60 % dans une activité adaptée à ses limitations fonctionnelles (pas de marche prolongée de plus de cinq kilomètres ou en terrain irrégulier, pas de montées et descentes d’escaliers répétées, pas de travaux en hauteur sur des échelles ou des échafaudages ainsi que nécessité d’avoir des toilettes à proximité du poste de travail).</w:t>
      </w:r>
    </w:p>
    <w:p>
      <w:r>
        <w:t>- 15 -</w:t>
      </w:r>
    </w:p>
    <w:p>
      <w:r>
        <w:rPr>
          <w:b/>
        </w:rPr>
        <w:t>E. 7</w:t>
      </w:r>
    </w:p>
    <w:p>
      <w:r>
        <w:t>a) Bien que cela ne soit pas litigieux, la Cour de céans est tenue de vérifier d’office si le calcul effectué par l’intimé pour déterminer le degré d’invalidité du recourant est conforme au droit. b)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w:t>
      </w:r>
    </w:p>
    <w:p>
      <w:r>
        <w:t>- 16 -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l’Enquête suisse sur la structure des salaires (ESS) (ATF 129 V 472 consid. 4.2.1 ; 126 V 76 consid. 3a/bb). Depuis la dixième édition de l'Enquête suisse sur la structure des salaires (ESS 2012),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 9C_901/2017 du 28 mai 2018 consid. 3.3). Quatre niveaux de compétences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citées).</w:t>
      </w:r>
    </w:p>
    <w:p>
      <w:r>
        <w:t>- 17 - L'accent est donc mis sur le type de tâches que l'assuré est susceptible d'assumer en fonction de ses qualifications mais pas sur les qualifications en elles-mêmes (TF 8C_46/2018 du 11 janvier 2019 consid. 4.4 ; 9C_901/2017 du 28 mai 2018 consid. 3.3).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rPr>
          <w:b/>
        </w:rPr>
        <w:t>E. 8</w:t>
      </w:r>
    </w:p>
    <w:p>
      <w:r>
        <w:t>a) En l’espèce, s’agissant du revenu sans invalidité, c’est à juste titre que l’intimé a considéré que sans l’atteinte à la santé, le recourant exercerait une activité à 100 %, ce qui ressort des indications qu’il a fournies le 26 mai 2021. Il n’y a par ailleurs aucun motif de s’écarter du salaire annuel de 56'735 fr. 25 (à 75 %) indiqué par l’employeur dans le questionnaire qu’il a retourné à l’OAI le 16 mai 2021, qui, porté à 100 %, s’élève à 75'647 francs. En tenant compte de l’indexation de 0.9 % applicable (ISS ; tableau T39 « Evolution des salaires nominaux, des prix à la consommation et des salaires réels 2010-2022), on obtient ainsi un salaire annuel à temps plein de 76'327 fr. 82, pour l’année 2022 (année d’ouverture du droit à la rente). Par conséquent, c’est un montant de 76'327 fr. 82 qui doit être retenu au titre de revenu sans invalidité, en lieu et place de celui de 76'252 fr. 18, qui a été fixé par l’intimé alors que le montant exact de l’indexation ne lui était pas encore connu. b) S’agissant du salaire avec invalidité, l’intimé a estimé que le recourant disposait, dès le 7 janvier 2022, d’une capacité de travail résiduelle dans une activité légère, par exemple dans un travail de</w:t>
      </w:r>
    </w:p>
    <w:p>
      <w:r>
        <w:t>- 18 - mécanique légère, afin de mettre en valeur son CFC de polymécanicien. Ce faisant, il a déterminé le salaire avec invalidité en se référant aux lignes 24-25 de l’ESS (fabrication de produits métalliques) et en tenant compte d’un niveau de compétence 2. Or, selon la jurisprudence, lorsque les tables ESS sont appliquées, il convient de se fonder, en règle générale, sur les salaires mensuels indiqués dans la table TA1, à la ligne "total secteur privé"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 TF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"total secteur privé" lorsque l'assuré ne peut plus raisonnablement exercer son activité habituelle et qu'il est tributaire d'un nouveau domaine d'activité pour lequel l'ensemble du marché du travail est en principe disponible (TF 8C_471/2017 du 16 avril 2018 consid. 4.2 ; 9C_142/2009 du 20 novembre 2009 consid. 4.1 et 9C_237/2007 du 24 août 2007 consid. 5.1, non publié à l'ATF 133 V 545). En l’espèce, il est établi et non contesté que la capacité de travail du recourant dans son activité habituelle de conducteur de [...] est nulle. Il convient donc en principe de se référer aux salaires mensuels mentionnés à la ligne « total secteur privé ». L’intimé s’est cependant référé aux lignes 24-25 (Métallurgie, fabrication de produits métalliques). Ce faisant, il n’a toutefois pas tenu compte du fait que le recourant, bien</w:t>
      </w:r>
    </w:p>
    <w:p>
      <w:r>
        <w:t>- 19 - que titulaire d’un CFC de polymécanicien, n’a en tout cas plus exercé une telle activité depuis 2009 et peut dès lors difficilement se prévaloir d’une expérience significative dans ce domaine, étant rappelé que le recourant a obtenu son CFC en 2008. Il a commencé sa formation de conducteur de [...] dès le 1er décembre 2009 et n’a, depuis lors, exercé aucune autre activité. Etant donné le parcours professionnel du recourant et l’absence de mesures professionnelles qui auraient permis à celui-ci de reprendre effectivement une activité dans le secteur de la métallurgie, il y a lieu d’écarter le revenu d’invalide fixé par l’intimé. Par conséquent, il convient d’appliquer le tableau de l’ESS 2020 (TA1_skill_level, total, secteur privé, niveau de compétence 1) et d’actualiser le montant à l’année de référence, en l’occurrence 2022. Ainsi, le salaire de référence pour les hommes était, en 2020, de 5'261 fr., part au treizième salaire comprise, soit un salaire annuel brut de 66'274 fr.</w:t>
      </w:r>
    </w:p>
    <w:p>
      <w:r>
        <w:rPr>
          <w:b/>
        </w:rPr>
        <w:t>E. 11</w:t>
      </w:r>
    </w:p>
    <w:p>
      <w:r>
        <w:t>pour un temps de travail de quarante heures. Compte tenu de la durée hebdomadaire de travail de 41.7 heures dans les entreprises en 2020 (cf. Indicateurs du marché du travail 2021 ; TA2.1) et de l’indexation applicable en 2021 (- 0.2 %) et 2022 (+ 0.9 %), le montant doit être porté à 66'274 fr. 63. Enfin, une exigibilité restreinte à 60 % justifie de réduire ce montant à 39'764 fr. 78. Pour le surplus, il n’y a pas lieu de procéder à un abattement, les atteintes à la santé et les limitations fonctionnelles du recourant ayant déjà été prises en compte dans la baisse de rendement de 40 % retenue au titre d’incapacité de travail. Ainsi, c’est un montant de 39'764 fr. 78 qui doit être retenu au titre de revenu avec invalidité, en lieu et place du montant de 45'425 fr. 06 retenu par l’intimé. c) En définitive, il résulte de la comparaison entre le salaire sans et celui avec invalidité une perte de gain de 36'563 fr. 04, soit un taux d’invalidité de 47.90 %, arrondi à 48 % (pour l’arrondi, cf. ATF 130 V 121, applicable également sous le nouveau droit [cf. ch. 3502 de la circulaire sur l’invalidité et les rentes dans l’assurance-invalidité]), ce qui ouvre le droit au recourant à une rente d’invalidité de 45 %, en lieu et</w:t>
      </w:r>
    </w:p>
    <w:p>
      <w:r>
        <w:t>- 20 - place de la rente de 25 % accordée par l’intimé dans sa décision du 13 décembre 2022. 9. a) Au vu de ce qui précède, le recours doit être partiellement admis et la décision du 13 décembre 2022 réformée en ce sens que le recourant a droit à une rente d’invalidité de 45 % dès le 1er mars 2022.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