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ZD22.047247 vom 5. Dezember 2023</w:t>
      </w:r>
    </w:p>
    <w:p>
      <w:r>
        <w:t>VD Tribunal cantonal, 2023-12-05, FR</w:t>
      </w:r>
    </w:p>
    <w:p>
      <w:r>
        <w:rPr>
          <w:b/>
        </w:rPr>
        <w:t xml:space="preserve">Quelle: </w:t>
      </w:r>
      <w:r>
        <w:t>https://mcp.opencaselaw.ch/entscheid/vd_gerichte_ZD22.047247</w:t>
      </w:r>
    </w:p>
    <w:p>
      <w:r>
        <w:t>FR: VD_GERICHTE ZD22.047247 du 5 décembre 2023</w:t>
      </w:r>
    </w:p>
    <w:p>
      <w:r>
        <w:t>IT: VD_GERICHTE ZD22.047247 del 5 dicembre 2023</w:t>
      </w:r>
    </w:p>
    <w:p>
      <w:pPr>
        <w:pStyle w:val="Heading2"/>
      </w:pPr>
      <w:r>
        <w:t>Erwägungen</w:t>
      </w:r>
    </w:p>
    <w:p>
      <w:r>
        <w:rPr>
          <w:b/>
        </w:rPr>
        <w:t>E. 4</w:t>
      </w:r>
    </w:p>
    <w:p>
      <w:r>
        <w:t>a) En l’espèce, l’intimé n’est pas entré en matière sur la troisième demande de prestations déposée le 30 juin 2022 par le recourant. Il s’agit donc pour la Cour de céans d’examiner si le rapport du 3 octobre 2022 du Dr I.________ et le rapport du 28 octobre 2021 de la Dre Q.________ établissent de manière plausible une aggravation de son état de santé par rapport à la situation qui prévalait au moment de la décision de refus du 1er décembre 2017 de l’intimé, laquelle constitue la dernière décision entrée en force. A cet égard, il convient d’emblée de relever que les atteintes à la santé décrites dans le rapport précité du Dr I.________ sont similaires à celles invoquées dans le cadre de la seconde demande, à savoir des problèmes articulaires au niveau des genoux, des épaules, ainsi que la problématique de l’asthme et du diabète. Cela étant, le Dr I.________ fait explicitement état d’une péjoration de ces atteintes, propre à rendre plausible un impact sur les limitations fonctionnelles du recourant. En effet, le Dr I.________ a expliqué que les douleurs du recourant ne répondaient plus aux antalgiques courants et myorelaxants, depuis 2021, et qu’il présente désormais des épanchements à répétition dans les deux genoux ainsi que des épisodes de blocage dans le dos nécessitant des injections anti-inflammatoires qui perturbe son diabète, diabète insulino- dépendant, qui devenait difficile à gérer malgré son amaigrissement de vingt kilos. S’y ajoute la survenue de la maladie de Charcot à droite. De plus, le recourant avait, à plusieurs reprises, présenté une décompensation asthmatique aggravée par le Covid long dont il souffrait, avec des capacités respiratoires et des saturations diminuées de moitié. Or, la problématique du Covid-19 n’était évidemment pas d’actualité lors de la décision du 1er décembre 2017 de l’intimé. Il est donc envisageable</w:t>
      </w:r>
    </w:p>
    <w:p>
      <w:r>
        <w:t>- 12 - que le Covid-19 ait pu influencer, respectivement aggraver les affections du recourant. De son côté, la Dre Q.________, dans son rapport du 28 octobre 2021, a nouvellement diagnostiqué un « overlap asthme BPCO ». Un tel diagnostic rend également plausible une aggravation de l’état de santé du recourant puisque la problématique d’une BPCO n’a jamais été évoquée par les médecins consultés. C’est d’autant plus plausible que les « patients souffrant d’un syndrome de chevauchement entre asthme et BPCO sont plus symptomatiques, ont une moins bonne qualité de vie et souffrent de plus d’exacerbations que les patients atteints d’une seule de ces deux maladies » (Valentina Garelli/Nicolas Petitpierre/Laurent P. Nicod, Le syndrome de chevauchement asthme-BPCO, in : Revue médicale suisse, 18 novembre 2015 n° 495, p. 2145). Enfin, il est particulièrement piquant de constater, au dossier, que la troisième demande, respectivement les rapports médicaux produits à la suite de celle-ci, n’a fait l’objet d’aucun avis du SMR, mais semble avoir été traitée et écartée par le seul gestionnaire de dossier. La situation médicale aurait pourtant mérité un examen par un médecin, ce d’autant plus que la troisième demande intervient environ quatre ans et demi après la décision du 1er décembre 2017 de l’intimé. Ainsi, il apparaît que c’est de manière contraire au droit fédéral que l’office intimé a refusé d’entrer en matière sur la nouvelle demande de prestations déposée par le recourant, si bien qu’il convient de renvoyer la cause à cet office afin qu’il entre en matière sur la demande de prestations puis, conformément au principe inquisitoire qui régit la procédure dans le domaine des assurances sociales (art. 43 al. 1 LPGA), mette en œuvre les mesures d’instruction nécessaires. Pour cette raison, il n’y a pas lieu de donner une suite favorable à la « contre-expertise » requise par le recourant dans le cadre de sa réplique.</w:t>
      </w:r>
    </w:p>
    <w:p>
      <w:r>
        <w:rPr>
          <w:b/>
        </w:rPr>
        <w:t>E. 5</w:t>
      </w:r>
    </w:p>
    <w:p>
      <w:r>
        <w:t>Compte tenu de ce qui précède, le recours est admis. La décision du 1er novembre 2022 de l’intimé est annulée, la cause étant</w:t>
      </w:r>
    </w:p>
    <w:p>
      <w:r>
        <w:t>- 13 - renvoyée à ce dernier afin qu’il entre en matière sur la demande de prestations déposée par le recourant le 30 juin 2022.</w:t>
      </w:r>
    </w:p>
    <w:p>
      <w:r>
        <w:rPr>
          <w:b/>
        </w:rPr>
        <w:t>E. 6</w:t>
      </w:r>
    </w:p>
    <w:p>
      <w:r>
        <w:t>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