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ZD22.046345 vom 14. September 2023</w:t>
      </w:r>
    </w:p>
    <w:p>
      <w:r>
        <w:t>VD Tribunal cantonal, 2023-09-14, FR</w:t>
      </w:r>
    </w:p>
    <w:p>
      <w:r>
        <w:rPr>
          <w:b/>
        </w:rPr>
        <w:t xml:space="preserve">Quelle: </w:t>
      </w:r>
      <w:r>
        <w:t>https://mcp.opencaselaw.ch/entscheid/vd_gerichte_ZD22.046345</w:t>
      </w:r>
    </w:p>
    <w:p>
      <w:r>
        <w:t>FR: VD_GERICHTE ZD22.046345 du 14 septembre 2023</w:t>
      </w:r>
    </w:p>
    <w:p>
      <w:r>
        <w:t>IT: VD_GERICHTE ZD22.046345 del 14 settembre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- 12 -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4.3</w:t>
      </w:r>
    </w:p>
    <w:p>
      <w:r>
        <w:t>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w:t>
      </w:r>
    </w:p>
    <w:p>
      <w:r>
        <w:t>- 13 -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143 V 124 consid. 2.2.2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w:t>
      </w:r>
    </w:p>
    <w:p>
      <w:r>
        <w:t>- 14 -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e)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w:t>
      </w:r>
    </w:p>
    <w:p>
      <w:r>
        <w:t>- 15 - mises de côté ; d’autre part, des ressources mobilisables par la personne assurée peuvent être tirées du contexte de vie de ce dernier, ainsi le soutien dont elle bénéficie dans son réseau social (ATF 141 V 281 consid.</w:t>
      </w:r>
    </w:p>
    <w:p>
      <w:r>
        <w:rPr>
          <w:b/>
        </w:rPr>
        <w:t>E. 6</w:t>
      </w:r>
    </w:p>
    <w:p>
      <w:r>
        <w:t>Dans le cas d’espèce, l’intimé a fondé son refus de prestations sur l’avis des experts du Centre C.________ du 11 novembre 2021 et le complément de l’expert psychiatre du 29 décembre 2021. Dans le cadre de leur analyse, ces experts ont retenu que la capacité de travail de la recourante dans l’activité habituelle était de 100 % jusqu’en septembre 2020, puis de 50 %. Dans une activité adaptée, sa capacité de travail avait toujours été entière.</w:t>
      </w:r>
    </w:p>
    <w:p>
      <w:r>
        <w:t>- 16 - De son côté, la recourante a contesté que le rapport d’expertise puisse se voir reconnaître une valeur probante. D’une part, elle a fait valoir que l’expert psychiatre, puis le SMR, s’étaient fondés sur l’ancienne jurisprudence selon laquelle des efforts raisonnables pouvaient être attendus de sa part pour surmonter sa douleur sans examiner les indicateurs dégagés par la jurisprudence et, d’autre part, elle a argué du fait que l’expertise psychiatrique n’était pas suffisamment motivée quant à la question de la capacité de travail. Elle a également reproché aux experts de n’avoir retenu aucune limitation ou baisse de rendement par rapport au trouble somatoforme douloureux, ce qui serait dès lors incohérent avec le fait de retenir ce trouble comme étant invalidant. Selon elle, une incapacité de travail d’au moins 70 % devait être retenue. a) Sur le plan formel, le rapport d’expertise du 11 novembre 2021 et son complément du 29 décembre 2021 satisfont aux réquisits auxquels la jurisprudence soumet la valeur de tels documents. En effet, les experts ont tous individuellement rencontré la recourante et rédigé un rapport détaillé, puis confronté leurs conclusions au cours d’une conférence de consensus du 8 octobre 2021 en présence de tous les experts qui a fait l’objet d’un rapport de synthèse dans lequel ils ont consensuellement évalué l’état de santé, la capacité de travail et les limitations fonctionnelles de la recourante. Les experts ont fondé leur appréciation sur le dossier médical de la recourante, lequel a été intégralement examiné et complété par des analyses sanguines, dont ils ont joint les résultats à leur rapport. Chaque expertise spécialisée reprend la même structure et contient en premier lieu une anamnèse étendue établie par l’expert sur la base de son entretien avec la recourante qu’ils ont notamment interrogée sur ses traitements, habitudes de vie et déroulement d’une journée habituelle (ch. 3). Ils ont ensuite protocolé les constatations faites à l’occasion de leur examen respectif (ch. 4) et posé leurs diagnostics (ch. 6). Ils ont donné leur évaluation de la situation médicale et médicale-assurantielle, incluant une évaluation de la cohérence et de la plausibilité, ainsi qu’une appréciation des capacités, des ressources et des difficultés de la recourante (ch. 7) avant de</w:t>
      </w:r>
    </w:p>
    <w:p>
      <w:r>
        <w:t>- 17 - répondre aux questions du mandant (ch. 8). On relèvera encore ici que les experts ont retenu un statut d’active à 100 %, suivi par l’intimé, qui peut en l’espèce être validé dès lors que la recourante elle-même a indiqué qu’à défaut d’atteinte à la santé, elle travaillerait à 100 % (cf. formule de détermination de statut du 15 octobre 2019), ce qui est par ailleurs confirmé par son ancien employeur (cf. questionnaire du 17 octobre 2019). b) Sur le plan somatique, l’expert de médecine interne a posé les diagnostics sans incidence sur la capacité de travail d’intolérance au gluten (T78.1), de myopie (H52.1) et de colopathie fonctionnelle (K63.9). Quant à l’expert rhumatologue, il a retenu les diagnostics de douleurs diffuses avec asthénie et troubles de concentration dont l’origine n’était pas rhumatologique et d’hyperlaxité articulaire, toujours sans incidence sur la capacité de travail. Pour ces deux experts, la capacité de travail de la recourante était dès lors de 100 % tant dans l’activité habituelle que dans une activité adaptée. Cette appréciation n’est pas mise en doute par les autres éléments du dossier, ni par la recourante d’ailleurs qui n’a fait valoir aucun moyen à l’encontre du volet somatique de l’expertise du 11 novembre 2021. On relèvera encore que si les Drs Z.________ et N.________ avaient d’abord évoqué une maladie de Lyme (cf. certificat du 24 avril 2017, rapports des 24 juillet, fin août et 23 novembre 2017, 12 janvier et 14 juin 2018, 6 mai, 10 juin et 10 septembre 2019), celle-ci a été écartée par le Dr J.________ en raison d’une sérologie négative (cf. rapport du 17 février 2020). Quant à une possible maladie d’Ehlers-Danlos évoquée par le Dr Z.________ dans ses rapports des 10 septembre 2019 et 17 juin 2020, ce médecin a lui-même exposé que ce syndrome n’expliquait pas toutes les plaintes de la recourante (cf. rapport du 19 mars 2021). De plus, cette maladie a été écartée par l’expert W.________ dès lors que, s’il existait incontestablement une hyperlaxité articulaire, on ne retrouvait aucun signe cutané, ni aucun antécédent familial, ni personnel de troubles proprioceptifs à type d’entorse à répétition, éléments fondamentaux pour</w:t>
      </w:r>
    </w:p>
    <w:p>
      <w:r>
        <w:t>- 18 - poser un tel diagnostic (cf. page 13 du rapport d’expertise du</w:t>
      </w:r>
    </w:p>
    <w:p>
      <w:r>
        <w:rPr>
          <w:b/>
        </w:rPr>
        <w:t>E. 11</w:t>
      </w:r>
    </w:p>
    <w:p>
      <w:r>
        <w:t>a) Au vu de ce qui précède, le recours doit être rejeté et la décision attaquée confirmée.</w:t>
      </w:r>
    </w:p>
    <w:p>
      <w:r>
        <w:t>- 29 -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