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ZD22.045772 vom 22. Februar 2024</w:t>
      </w:r>
    </w:p>
    <w:p>
      <w:r>
        <w:t>VD Tribunal cantonal, 2024-02-22, FR</w:t>
      </w:r>
    </w:p>
    <w:p>
      <w:r>
        <w:rPr>
          <w:b/>
        </w:rPr>
        <w:t xml:space="preserve">Quelle: </w:t>
      </w:r>
      <w:r>
        <w:t>https://mcp.opencaselaw.ch/entscheid/vd_gerichte_ZD22.045772</w:t>
      </w:r>
    </w:p>
    <w:p>
      <w:r>
        <w:t>FR: VD_GERICHTE ZD22.045772 du 22 février 2024</w:t>
      </w:r>
    </w:p>
    <w:p>
      <w:r>
        <w:t>IT: VD_GERICHTE ZD22.045772 del 22 febbraio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w:t>
      </w:r>
    </w:p>
    <w:p>
      <w:r>
        <w:t>- 11 -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w:t>
      </w:r>
    </w:p>
    <w:p>
      <w:r>
        <w:t>- 12 -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5.1</w:t>
      </w:r>
    </w:p>
    <w:p>
      <w:r>
        <w:t>; 125 V 351 consid. 3a ; TF 8C_510/2020 du 15 avril 2021 consid. 2.4).</w:t>
      </w:r>
    </w:p>
    <w:p>
      <w:r>
        <w:rPr>
          <w:b/>
        </w:rPr>
        <w:t>E. 6</w:t>
      </w:r>
    </w:p>
    <w:p>
      <w:r>
        <w:t>a) La recourante reproche à l’OAI d’avoir instruit sommairement son cas et d’avoir été vue par peu de médecins. Il apparait cependant que l’assurée a été examinée par plusieurs spécialistes, tant sur le plan somatique que psychique. Dans ce cadre, elle a notamment fait l’objet d’un examen pluridisciplinaire auprès de médecins de la Clinique N.________ et d’une expertise psychiatrique par le Dr W.________. L’OAI a du reste recueilli des rapports auprès de plusieurs autres spécialistes, notamment neurologue et angiologue. L’instruction réalisée ne peut être qualifiée de sommaire. b) Sur le plan psychiatrique, l’assurée a fait l’objet d’une expertise. L’expert W.________ a retenu les diagnostics incapacitants de troubles de l’adaptation, avec réaction dépressive prolongée (F43.21), d’accentuation de certains traits de personnalité, traits de personnalité dépendants (Z73.1) et d’autres troubles anxieux spécifiés (F41.3). Il a également écarté avec soin les diagnostics de trouble dépressif récurrent, de troubles affectifs bipolaires, d’anxiété généralisée, d’agoraphobie, d’état de stress post-traumatique, de syndrome douloureux somatoforme persistant et de troubles de la personnalité. L’expert a notamment exposé que l’événement survenu le 29 décembre 2019 n’était pas suffisant pour générer un état de stress post-traumatique au sens de la CIM-10. Il a également expliqué qu’en dépit de la présence de douleurs chroniques, celles-ci n’étaient pas accompagnées de sentiment de détresse, l’assurée pouvant en outre bouger facilement son bras lorsqu’elle ne se sentait pas observée, ce qui laissait sous-entendre une part intentionnelle dans l’expression de la douleur. Compte tenu de ces éléments, l’expert a écarté le diagnostic de trouble somatoforme douloureux. L’expert s’est encore prononcé sur les évaluations psychiatriques réalisées à la Clinique</w:t>
      </w:r>
    </w:p>
    <w:p>
      <w:r>
        <w:t>- 13 - N.________, exposant de manière détaillée que l’assurée avait présenté un trouble d’adaptation initial plus important à la suite de l’accident, avec une authentique réaction anxieuse pendant plusieurs mois qui s’était estompée au fur et à mesure, pour laisser place aux éléments dépressifs décrits, avec des éléments atypiques et contradictoires à prendre en considération. Le diagnostic retenu par la Clinique N.________ de trouble de l’adaptation avec réaction anxieuse devait donc être écarté, au profit du diagnostic de trouble d’adaptation initial, dès lors que le trouble ne pouvait être retenu au-delà de six mois. L’expert a examiné avec soin le dossier de l’assurée, il a ensuite détaillé les plaintes spontanées puis dirigées. Il a également demandé la réalisation de tests neuropsychologiques. Il a détaillé l’évolution de l’état de santé et des traitements. Il a constaté que l’assurée ne bénéficiait pas de psychothérapie, pourtant recommandée par les médecins de la Clinique N.________ et dont il confirmait la nécessité. Une thérapie cognitivo-comportementale ainsi qu’une augmentation du traitement antidépresseur, cas échéant le changement de classe médicamenteuse, étaient recommandés. Tous les traitements n’avaient pas été testés et il existait donc une marge de progression importante. L’expert a encore analysé les ressources et évalué la cohérence et la plausibilité. A cet égard, il a relevé certaines incohérences, notamment dans les mouvements réalisés par l’assurée avec ses doigts et son bras droit lorsqu’elle oubliait le regard d’autrui ou les problèmes de mémoire importants rapportés alors que l’intéressée retrouvait des informations s’agissant de son traitement antidépresseur ou des photos dans son téléphone portable, qu’elle manipulait d’ailleurs avec dextérité. Ces comportements s’inscrivaient dans un probable mécanisme d’opposition en vue d’obtenir des bénéfices secondaires. Aussi, les résultats au test neuropsychologique démontraient des atteintes peu crédibles au vu des tests de validation échoués, ce qui suggérait une part consciente d’exagération des symptômes. L’assurée s’occupait en outre de sa petite fille et s’amusait avec elle, ce qui démontrait l’absence de perte totale d’intérêt et nécessitait des ressources cognitives qu’elle disait ne pas avoir.</w:t>
      </w:r>
    </w:p>
    <w:p>
      <w:r>
        <w:t>- 14 - Compte tenu de ces éléments, y compris des incohérences relevées, l’expert a considéré que l’assurée avait été totalement incapable de travailler durant six mois à la suite de l’accident du 29 décembre 2019. Elle avait ensuite trouvé des bénéfices secondaires qui pouvaient toutefois être surmontés malgré ses faibles capacités et sa capacité de travail était à nouveau entière dans une activité respectant ses limitations fonctionnelles, à savoir une baisse de persévérance, des difficultés d’intégration des informations, des troubles de l’attention légers, une fatigue et une fatigabilité. L’activité habituelle était jugée adaptée, celle-ci permettant un travail répétitif, sans prise de décision immédiate et sans traitement d’information simultané et sans utilisation du bras droit. Comme relevé par le SMR dans son avis du 12 juillet 2022, la baisse de persévérance, les troubles de l’attention et la fatigue sont à replacer dans le contexte de possible exagération des atteintes cognitives ainsi que le déconditionnement mis en évidence par l’expert. En tant qu’il se fonde sur un dossier complet, une anamnèse détaillée et des conclusions claires et motivées formulées après un examen structuré, le rapport de l’expert W.________ peut se voir conférer une pleine valeur probante. c) Sur le plan somatique, l’assurée présente, des suites de son accident du 29 décembre 2019, un statut post-fracture comminutive de la clavicule droite, fermée et ostéosynthésée. Après une évolution favorable dans un premier temps, elle a présenté des douleurs dès la 4ème semaine post-opératoire. Des examens complémentaires ont révélé que la fracture était consolidée avec un matériel d’ostéosynthèse en place (radiographie du 5 juin 2020) et ont écarté la présence d’une capsulite rétractile (IRM du 15 avril 2020 et rapport du Dr U.________ du 1er mai 2020), l’hypothèse d’une origine veineuse ou artérielle de la symptomatologie (rapport du 30 septembre 2020 du Dr T.________) et un dysfonctionnement neurologique (rapport du 6 avril 2021 du Dr C.________ et volet neurologique de l’appréciation de la Clinique N.________). Dans son rapport du 28 janvier 2021, le Dr U.________ a indiqué que sur le plan orthopédique, la</w:t>
      </w:r>
    </w:p>
    <w:p>
      <w:r>
        <w:t>- 15 - récupération aurait pu être complète trois mois après l’opération mais qu’il était alors dans l’attente des résultats du neurologue pour un éventuel nouveau diagnostic. Le neurologue en question, le Dr C.________, a fait état de l’absence de démonstration de neuropathie tronculaire, de plexopathie brachiale ou de radiculopathie participant à l’impotence du membre supérieur droit. Il a ainsi suspecté la présence de troubles fonctionnels moteurs, sensitifs et douloureux du membre supérieur droit, précisant toutefois que l’examen clinique avait été compliqué par les douleurs et le manque de collaboration de l’assurée. L’assurée et son époux ne s’étaient pas montrés réceptifs à ce diagnostic et son mécanisme de production inconsciente, lorsque le neurologue le leur avait présenté. Il a toutefois précisé qu’une amélioration n’était espérée qu’après acceptation du diagnostic et une prise en charge spécifique. Le Dr C.________ a cependant constaté, comme les médecins de la Clinique N.________, que l’assurée ne collaborait pas de manière optimale à l’examen clinique. Les médecins de la Clinique N.________ ont rapporté, dans leur évaluation interdisciplinaire du 24 juillet 2020, que la collaboration de l’assurée avait baissé lors de l’examen clinique qui avait été passablement entravé par le comportement douloureux. L’assurée se montrait démonstrative, grimaçant, soupirant, voire criant, et enlevant systématiquement la main de l’examinateur. L’assurée avait en outre refusé de réaliser la marche sur les pointes et les talons ainsi que de s’accroupir. Les tests tendineux et de coiffe étaient ininterprétables en raison de crispation douloureuse. Les médecins ont toutefois conclu qu’au vu du tonus musculaire présenté en cours de crispation, il n’y avait pas d’incompétence significative de la coiffe des rotateurs. Ils ont constaté que l’assurée se limitait à ce qu’elle pensait faire, sans montrer ses capacités physiques maximales. Ils ont finalement retenu que, sur la base uniquement des constatations médicales objectives, le pronostic était jugé bon sept mois après l’accident, mais était assombri par divers facteurs, notamment l’auto-perception élevée du handicap, une exclusion fonctionnelle du membre avec un processus d’invalidation en cours, un désinvestissement dans les activités quotidiennes. Se fondant sur ces éléments, la Dre K.________, médecin de la CNA, a estimé que, s’agissant des suites somatiques de l’accident, l’assurée était capable de travailler</w:t>
      </w:r>
    </w:p>
    <w:p>
      <w:r>
        <w:t>- 16 - dans son activité habituelle dès le 5 octobre 2020, jour de son appréciation. Si la majeure partie de l’instruction somatique a été réalisée sur demande de l’assurance-accidents, celle-ci peut néanmoins servir auprès de l’OAI. Il faut toutefois tenir compte du fait que l’assureur- accidents ne répond que des conséquences des atteintes à la santé qui sont en relation de causalité naturelle et adéquate avec l’accident assuré. L’évaluation de l’invalidité par les organes de l’assurance-accidents n’a ainsi pas de force contraignante absolue pour l’assurance-invalidité, et vice-versa (ATF 133 V 549 consid. 6.2 et 6.4 ; 131 V 362 consid. 2.2.1 et 2.2.2). Or, en l’occurrence, les atteintes qui ont fondé le dépôt de la demande de prestations AI sont consécutives à l’accident du 29 décembre 2019 – qui a été pris en charge par la CNA. L’appréciation de l’état de santé somatique réalisée à satisfaction dans le cadre de l’assurance- accidents peut ainsi être suivie par l’OAI, étant précisé que les facteurs défavorables à la réinsertion retenus par les médecins de la Clinique N.________ sont des facteurs psychosociaux qui ne sont pas du ressort de l’assurance-invalidité (ATF 127 V 294 consid. 5a ; TF 9C_837/2011 et 9C_845/2011 du 29 juin 2012 consid. 6.3, 9C_603/2009 du 2 février 2010 consid. 4.1, in SVR 2010 IV 58 p. 177). Ainsi, en l’absence de substrat organique trouvé dans les différentes spécialités investiguées et compte tenu du manque de collaboration de l’assurée ainsi que des incohérences relevées, le SMR pouvait suivre l’appréciation de la Dre K.________ et retenir que l’assurée est pleinement capable de travailler depuis le 5 octobre 2020 dans son activité habituelle. d) La recourante ne formule aucun grief précis contre les conclusions des experts ou du SMR. Elle ne se prévaut au demeurant d’aucun rapport médical pour contester les conclusions des médecins, n’étayant donc pas son point de vue. Rien au dossier ne vient ainsi contredire les conclusions des médecins de la Clinique N.________, du SMR et de l’expert psychiatre.</w:t>
      </w:r>
    </w:p>
    <w:p>
      <w:r>
        <w:t>- 17 - e) Vu ce qui précède, l’OAI pouvait légitimement rejeter le droit à des prestations de l’assurance-invalidité, l’assurée n’ayant pas présenté une incapacité de travail et de gain d’au moins 40 % en moyenne durant une année. Quoi qu’il en soit, l’activité habituelle est adaptée à la situation de l’assurée qui ne subit donc aucun préjudice économique.</w:t>
      </w:r>
    </w:p>
    <w:p>
      <w:r>
        <w:rPr>
          <w:b/>
        </w:rPr>
        <w:t>E. 7</w:t>
      </w:r>
    </w:p>
    <w:p>
      <w:r>
        <w:t>Le dossier est complet et permet à la Cour de céans de statuer en pleine connaissance de cause. Il n’y a dès lors pas lieu de compléter l’instruction comme le requiert la recourante par la mise en œuvre d’une expertise neutre. En effet, une telle mesure d’instruction ne serait pas de nature à modifier les considérations qui précèdent puisque les faits pertinents ont pu être constatés à satisfaction de droit (appréciation anticipée des preuves ; ATF 145 I 167 consid. 4.1 ; 144 II 427 consid. 3.1.3 ; 140 I 285 consid. 6.3.1).</w:t>
      </w:r>
    </w:p>
    <w:p>
      <w:r>
        <w:rPr>
          <w:b/>
        </w:rPr>
        <w:t>E. 8</w:t>
      </w:r>
    </w:p>
    <w:p>
      <w:r>
        <w:t>a) Vu ce qui précède, le recours est rejeté et la décision entreprise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et a procédé sans mandataire qualifié (art. 61 let. g LPGA ; ATF 127 V 205 consid. 4b).</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