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ZD22.045760 vom 11. Oktober 2023</w:t>
      </w:r>
    </w:p>
    <w:p>
      <w:r>
        <w:t>VD Tribunal cantonal, 2023-10-11, FR</w:t>
      </w:r>
    </w:p>
    <w:p>
      <w:r>
        <w:rPr>
          <w:b/>
        </w:rPr>
        <w:t xml:space="preserve">Quelle: </w:t>
      </w:r>
      <w:r>
        <w:t>https://mcp.opencaselaw.ch/entscheid/vd_gerichte_ZD22.045760</w:t>
      </w:r>
    </w:p>
    <w:p>
      <w:r>
        <w:t>FR: VD_GERICHTE ZD22.045760 du 11 octobre 2023</w:t>
      </w:r>
    </w:p>
    <w:p>
      <w:r>
        <w:t>IT: VD_GERICHTE ZD22.045760 del 11 ottobre 2023</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- 22 -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w:t>
      </w:r>
    </w:p>
    <w:p>
      <w:r>
        <w:t>- 23 -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w:t>
      </w:r>
    </w:p>
    <w:p>
      <w:r>
        <w:rPr>
          <w:b/>
        </w:rPr>
        <w:t>E. 4.2</w:t>
      </w:r>
    </w:p>
    <w:p>
      <w:r>
        <w:t>et les références citées ; TF 9C_568/2017 du 11 janvier 2018 consid. 5.4).</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- 24 -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w:t>
      </w:r>
    </w:p>
    <w:p>
      <w:r>
        <w:t>- 25 -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w:t>
      </w:r>
    </w:p>
    <w:p>
      <w:r>
        <w:rPr>
          <w:b/>
        </w:rPr>
        <w:t>E. 6</w:t>
      </w:r>
    </w:p>
    <w:p>
      <w:r>
        <w:t>Dans sa décision, l’OAI a retenu un statut d’active de 80 % et de ménagère de 20 %. La recourante conteste le statut mixte retenu par l’OAI. Elle fait valoir qu’elle a limité son taux d’activité à 80 % pour des raisons de santé psychique depuis 2010 et qu’elle a répondu qu’elle travaillerait à 80 % dans les formulaires de statut uniquement pour tenir compte de l’atteinte à la santé actuelle (et pas de celles préexistant) mais que son statut serait de 100 % active sans atteinte.</w:t>
      </w:r>
    </w:p>
    <w:p>
      <w:r>
        <w:t>- 26 - La position de l’assurée ne tient pas. En effet, dans les formulaires, au demeurant remplis dans le même sens lors de chaque demande de prestations de l’assurance-invalidité, demandant précisément le taux d’activité qui serait exercé sans atteinte à la santé, elle a, à chaque fois, répondu 80 %, ce qui correspondait d’ailleurs au taux réellement occupé avant l’invalidité. L’intéressée avait déjà déclaré qu’elle souhaitait travailler à 80 % sans handicap, qu’elle vivait seule, lors de l’entretien du 11 mars 2009 et elle avait renoncé à déposer une demande de prestations AI pour la suite. En outre, le droit à des prestations de l’assurance-invalidité lui a été nié au mois d’avril 2015 et en juillet 2019 par l’OAI car elle avait repris à chaque fois l’exercice de son activité habituelle en tant qu’assistante socio-éducative pour le compte de l’[...] ([...]) au taux contractuel de 80 % sans présenter de préjudice économique, ce qu’elle n’a pas contesté à l’époque. Au demeurant, il convient de rappeler qu’en présence de deux versions différentes et contradictoires d’un état de fait, la préférence doit être accordée en général à celle que la personne assurée a donnée alors qu’elle en ignorait peut-être les conséquences juridiques (règles dites des « premières déclarations »), les explications nouvelles pouvant être consciemment ou non le fruit de réflexions ultérieures (ATF 142 V 590 consid. 5.2 ; 121 V 45 consid. 2a ; TF 8C_238/2018 du 22 octobre 2018 consid. 6). Il n’y a pas lieu en l’occurrence de s’écarter de cette jurisprudence. On retiendra donc que la recourante a réitéré à maintes reprises vouloir travailler à 80 % jusqu’à ce qu’elle prenne conscience, à sa connaissance du projet de décision négatif du 9 mai 2022, de l’implication de ses déclarations initiales dans le cadre du calcul du degré d’invalidité. L’assurée ne peut aujourd’hui soutenir de manière crédible avoir limité son taux d’activité à 80 % pour des raisons de santé psychique depuis 2010, et non par choix personnel, et qu’elle aurait pris un emploi à plein temps si elle avait été en parfaite santé. La référence au rapport du 6 août 2021 du Dr F.________ n’est d’aucune aide à la recourante pour tenter de s’écarter de son statut</w:t>
      </w:r>
    </w:p>
    <w:p>
      <w:r>
        <w:t>- 27 - mixte ; le fait que ce médecin indique que la recourante a trouvé un équilibre dans un premier temps à 80 % pour des raisons psychologiques n’établit pas pour autant que la recourante était atteinte d’une maladie psychique avec une incapacité de travail de 20 % corrélative avant ses demandes de prestations d’assurance-invalidité. De plus, ce rapport n’est pas du tout révélateur de la prétendue volonté de la recourante de travailler à plein temps si elle était en bonne santé. L’attestation de la Dre D.________ du 9 juin 2022 indiquant que la recourante aurait fait une surcharge de travail lorsqu’elle œuvrait à 100 % n’est pas davantage pertinente pour nier la volonté de la recourante, affirmée à plusieurs reprises, de travailler au taux de 80 %. La recourante cherche à établir en vain une incapacité de travail préexistante à l’invalidité, en se basant notamment sur le rapport du Dr F.________ reçu le 22 décembre 2022 par Me Duc puis sur l’avis du 25 janvier 2023 de la naturopathe Z.________ ; à ce stade, il ne s’agit en effet pas de déterminer quelle était la capacité de travail à l’époque mais de savoir à quel taux elle travaillerait si elle avait été en parfaite santé (sans se préoccuper de son état de santé réel actuel ou passé). Or la recourante a répondu à cette question de manière uniforme à maintes reprises sans aucune ambiguïté à sept ans d’intervalle, en particulier dans les formulaires de détermination du statut des 29 juillet 2014, 19 septembre 2018 et 11 mai 2021. Ainsi, lors de la procédure de demande de prestations de l’assurance-invalidité en 2014, elle précise le 13 juin 2014 qu’elle travaille à 80 % par choix de vie, par intérêt personnel (le 29 juillet 2014) et par choix personnel (le 21 octobre 2014). Puis lors de la demande de 2018, elle indique le 19 septembre 2018 que dans le cas où elle ne travaillerait pas à plein temps, elle aurait besoin de temps pour récupérer, se ressourcer et accomplir les tâches ménagères et elle confirme, le 1er novembre 2018, que le statut de 80 % active relève de son choix. Lors d’un entretien téléphonique du 8 mai 2019 avec le spécialiste en réinsertion professionnelle, l’intéressée l’informe de l’augmentation de son taux d’occupation à 60 % réparti sur quatre jours de travail dès le 1er janvier 2019 puis à 70 % à partir du 1er mars 2019 et de l’atteinte de son taux contractuel de 80 % depuis le 1er mai 2019 en</w:t>
      </w:r>
    </w:p>
    <w:p>
      <w:r>
        <w:t>- 28 - disant qu’elle se sent bien ; à aucun moment elle ne déclare souhaiter travailler à 100 %. Enfin lors de la demande de prestations AI de 2021, elle indique le 11 mai 2021 à nouveau qu’en bonne santé elle travaillerait à 80 % depuis le 15 mars 2010 en tant qu’assistante socio-éducative dans son poste habituel en ajoutant que le reste du temps elle s’occupe de la tenue du ménage, des courses et fait des activités physiques comme la marche rapide, la marche en forêt, la randonnée en montagne entre amis et la course à pieds. Lors de l’enquête ménagère du 6 avril 2022 elle répète qu’elle a toujours travaillé au taux de 80 %, qui lui convenait très bien et lui permettait de s’occuper de son ménage et d’avoir du temps pour elle-même, et que les gains réalisés étaient suffisants à l’équilibre financier du ménage. A cet égard, c’est en vain que la recourante conteste avoir tenu ces propos ; d’une part, ils correspondent à ce qu’elle avait déjà déclaré plusieurs fois et, d’autre part, on ignore pour quel motif l’évaluateur de l’OAI aurait retranscrit des déclarations aussi précises de manière erronée. Par surabondance, on observera qu’il n’est pas besoin d’être assisté d’un avocat pour répondre à la question de savoir à quel taux elle travaillerait si elle était en bonne santé. Sur le vu de ce qui précède, le grief soulevé par la recourante doit être rejeté. Il convient de confirmer le statut mixte de 80 % active et 20 % ménagère tel qu’arrêté par l’intimé.</w:t>
      </w:r>
    </w:p>
    <w:p>
      <w:r>
        <w:rPr>
          <w:b/>
        </w:rPr>
        <w:t>E. 7</w:t>
      </w:r>
    </w:p>
    <w:p>
      <w:r>
        <w:t>En ce qui concerne la part que la recourante consacre à l’exercice d’une activité lucrative (de 80 %), l’autorité intimée a retenu qu’en raison de son état de santé défaillant la recourante présente une capacité de travail de 60 % au maximum dans l’activité habituelle ou dans toute autre activité depuis le mois de juillet 2020. L’OAI se base sur l’avis du Dr F.________ du 8 juillet 2020 mais surtout sur celui du 6 août 2021 (particulièrement motivé sur ce plan, cf. comptes rendus des permanences SMR des 17 septembre 2021 et 4 novembre 2021). De son côté, la recourante conteste disposer d’une capacité de travail résiduelle de 60 %, étant d’avis qu’elle ne serait pas supérieure à 50 %.</w:t>
      </w:r>
    </w:p>
    <w:p>
      <w:r>
        <w:t>- 29 - Le rapport du Dr F.________ non daté mais reçu le 22 décembre 2022 par l’avocat n’établit pas pour quel motif médical objectif la capacité de travail de la recourante aurait diminué de 60 % à 50 %. Ce médecin explique en effet que c’est la patiente qui évalue sa capacité de travail à ce taux. Le SMR en déduit dans son avis du 27 janvier 2023 que le Dr F.________ suit l’évaluation subjective de sa patiente qui évalue sa capacité de travail actuelle à 50 % (cf. point n° 4 du rapport non daté mais reçu le 22 décembre 2022 par l’avocat) et déclare aussi qu’une activité à 50 % est le maximum qu’elle puisse fournir dans ces circonstances (cf. point n°</w:t>
      </w:r>
    </w:p>
    <w:p>
      <w:r>
        <w:rPr>
          <w:b/>
        </w:rPr>
        <w:t>E. 8</w:t>
      </w:r>
    </w:p>
    <w:p>
      <w:r>
        <w:t>Pour la part que la recourante consacre à l’accomplissement de ses travaux habituels (de 20 %), dans son rapport du 6 avril 2022 l’enquêteur de l’OAI a retenu un empêchement de 6,8 % dans l'accomplissement des travaux habituels. De son côté, la recourante conteste les conclusions de l’enquête ménagère en faisant notamment valoir qu’elle est en cours de séparation d’avec son conjoint et qu’elle vivra bientôt seule. Elle en tire des arguments pour son futur taux d’activité ainsi que ses empêchements compte tenu de la future absence d’aide exigible de la part de son conjoint. Ces allégations ne sont toutefois en l’état qu’au stade d’hypothèses. La séparation, qui n’est d’ailleurs même pas réalisée au jour du dépôt du recours le 11 novembre 2022, ne saurait être prise en compte étant rappelé que, selon une jurisprudence constante, le juge des assurances sociales apprécie la légalité d’après l’état de fait existant au moment où la décision litigieuse a été rendue, étant précisé que le juge n’a pas à prendre en considération les modifications de l’état de fait postérieures à la date déterminante de la décision litigieuse (ATF 144 V 210 consid. 4.3.1 ; 132 V 215 consid. 3.1.1). Le cas échéant, dans le cadre d’une nouvelle demande de prestations de l’assurance-invalidité, la recourante pourra invoquer qu’elle ne dispose plus d’une aide exigible de la part de son conjoint en démontrant que cela a une incidence probable sur le calcul du degré d’invalidité. En ce qui concerne l'entrave dans l'accomplissement des travaux habituels, le rapport d’enquête ménagère du 6 avril 2022 conclut à un empêchement total de 6,8 %. Il n'y a pas lieu de s'écarter de ce rapport, lequel remplit les critères jurisprudentiels résumés ci-avant (cf. consid. 5c supra) pour se voir reconnaître pleine valeur probante. En effet, il a été élaboré par une personne qualifiée qui a eu connaissance de la situation locale et spatiale ainsi que des empêchements et des handicaps résultant des diagnostics médicaux (rapport d’enquête ménagère, pp. 2 -</w:t>
      </w:r>
    </w:p>
    <w:p>
      <w:r>
        <w:t>- 32 - 3). L’enquêteur de l’OAI a passé en revue les uns après les autres les divers postes composant les travaux ménagers de la recourante. Pour chacun des postes, il a détaillé les diverses limitations en fonction des indications recueillies sur place. Les conclusions de ce rapport sont dûment motivées, sans qu’il n’existe aucun motif de s’en écarter. Au demeurant, la recourante ne soulève pas vraiment de grief à son encontre, sous réserve du taux d’activité ménagère indiqué et qui est traité plus haut (cf. consid. 6 supra). Le rapport d’enquête ménagère du 6 avril 2022 et ses conclusions retenant un empêchement de 6,8 % dans l'accomplissement des travaux habituels peut être validé.</w:t>
      </w:r>
    </w:p>
    <w:p>
      <w:r>
        <w:rPr>
          <w:b/>
        </w:rPr>
        <w:t>E. 9</w:t>
      </w:r>
    </w:p>
    <w:p>
      <w:r>
        <w:t>a) Le taux d’invalidité global a été fixé à 33,36 % ([80 % x 40 %] + [20 % x 6,8 %]). A l’appui de sa critique envers le degré d’invalidité, la recourante base argumentation sur un statut différent que le statut mixte dûment retenu par l’OAI (cf. consid. 6 supra). Sa critique est donc pour l’essentiel sans pertinence. Il reste que la recourante considère qu’un abattement pour les limitations fonctionnelles devrait être retenu sur le revenu d’invalide dans le cadre du calcul du degré d’invalidité. b) S’agissant du revenu d’invalide, il peut être fixé à l’aide des données salariales tirées de l’Enquête suisse sur la structure des salaires (ESS) publiée tous les deux ans par l’Office fédéral de la statistique ([OFS] ; cf. ATF 142 V 178 consid. 2.5.7). Aux fins de déterminer le revenu d'invalide, le salaire fixé sur cette base peut à certaines conditions faire l'objet d'un abattement de 25 % au plus (ATF 148 V 174 consid. 6.3; 129 V 472 consid. 4.2.3; 126 V 75 consid. 5b/aa-cc). Or en l’espèce, le revenu d’invalide n’a pas été fixé sur la base des données statistiques de l’ESS</w:t>
      </w:r>
    </w:p>
    <w:p>
      <w:r>
        <w:t>- 33 - mais en fonction de la situation professionnelle concrète avec pour conséquence que la question de l’abattement soulevé par la recourante est sans pertinence. c) Le taux d’invalidité global de 33,36 % est insuffisant pour ouvrir le droit à une rente (cf. consid. 4a supra).</w:t>
      </w:r>
    </w:p>
    <w:p>
      <w:r>
        <w:rPr>
          <w:b/>
        </w:rPr>
        <w:t>E. 10</w:t>
      </w:r>
    </w:p>
    <w:p>
      <w:r>
        <w:t>Le dossier est complet, permettant ainsi à la Cour de statuer en connaissance de cause. Un complément d’instruction apparaît inutile et les requêtes formulées en ce sens par la recourante – à savoir, la réalisation d'une expertise bidisciplinaire judiciaire, son audition personnelle et celle des Drs T.________ et F.________ ainsi que de l’employeur actuel en la personne de Monsieur A.______________ – doivent dès lors être rejetées. En effet, la réalisation d’une expertise, son audition personnelle et celle de son employeur ne seraient pas de nature à modifier les considérations qui précédent. Quant aux médecins, ils ont pu s’exprimer tout au long de la procédure par le biais de rapport écrits et on ne voit pas en quoi leurs auditions pourraient être utiles.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11</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w:t>
      </w:r>
    </w:p>
    <w:p>
      <w:r>
        <w:t>- 34 - c) Il n’y a pas lieu d’allouer de dépens à la recourante, qui n’obtient pas gain de cause (art. 61 let. g LPGA). d) La recourante requiert la prise en charge par l’intimé des frais d’établissement des rapports des Drs V.________ du 9 novembre 2022, F.________ reçu le 22 décembre 2022 par l’avocat et J.________ du 16 mars 2023.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TF 8C_354/2015, 8C_362/2015 du 13 octobre 2015 consid. 6.1 ; ATF 115 V 62 consid. 5c). bb) En l’occurrence, les trois rapports en question des Drs V.________, F.________ et J.________ n’ont, ainsi que cela ressort du présent arrêt, pas apporté de constatations déterminantes pour confirmer ou infirmer la position de l’intimé. Lesdits rapports n’étaient dès lors pas indispensables à l’appréciation du cas au sens de l’art. 45 al. 1 LPGA, de sorte que les frais correspondants, qui ne sont pas établis au demeurant,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