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ZD22.045569 vom 2. September 2024</w:t>
      </w:r>
    </w:p>
    <w:p>
      <w:r>
        <w:t>VD Tribunal cantonal, 2024-09-02, FR</w:t>
      </w:r>
    </w:p>
    <w:p>
      <w:r>
        <w:rPr>
          <w:b/>
        </w:rPr>
        <w:t xml:space="preserve">Quelle: </w:t>
      </w:r>
      <w:r>
        <w:t>https://mcp.opencaselaw.ch/entscheid/vd_gerichte_ZD22.045569</w:t>
      </w:r>
    </w:p>
    <w:p>
      <w:r>
        <w:t>FR: VD_GERICHTE ZD22.045569 du 2 septembre 2024</w:t>
      </w:r>
    </w:p>
    <w:p>
      <w:r>
        <w:t>IT: VD_GERICHTE ZD22.045569 del 2 settembre 2024</w:t>
      </w:r>
    </w:p>
    <w:p>
      <w:pPr>
        <w:pStyle w:val="Heading2"/>
      </w:pPr>
      <w:r>
        <w:t>Erwägungen</w:t>
      </w:r>
    </w:p>
    <w:p>
      <w:r>
        <w:rPr>
          <w:b/>
        </w:rPr>
        <w:t>E. 4</w:t>
      </w:r>
    </w:p>
    <w:p>
      <w:r>
        <w:t>a) Dans la mesure où la recourante est de nationalité portugaise, la cause doit être examinée non seulement à la lumière du droit suisse mais aussi des dispositions de l’Accord du 21 juin 1999 entre la Confédération suisse, d'une part, et la Communauté européenne et ses Etats membres, d'autre part, sur la libre circulation des personnes (Accord sur la libre circulation des personnes ou ALCP ; RS 0.142.112.681) et des règlements auxquels il renvoie, en particulier le Règlement (CE) n° 883/2004 du Parlement européen et du Conseil du 29 avril 2004 portant sur la coordination des systèmes de sécurité sociale (RS 0.831.109.268.1). b) Selon l’art. 6 al. 1 LAI, les ressortissants suisses et étrangers ainsi que les apatrides ont droit aux prestations conformément aux dispositions de la LAI, l’art. 39 de cette loi étant réservé. En vertu de l’art. 36 al. 1 LAI, l’octroi d’une rente ordinaire de l’assurance-invalidité est, quelle que soit la nationalité de la personne assurée, subordonné à une durée de cotisations minimale de trois ans lors de la survenance de l’invalidité. Dite condition n’est cependant pas absolue. En effet, en application des art. 6, 46 par. 1 et 57 par. 1 du règlement (CE) n° 883/2004, des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(voir également ch. 3004 et 3005 CIBIL [Circulaire sur la procédure pour la fixation des prestations dans l’AVS/AI]). c) L’invalidité se définit comme l’incapacité de gain totale ou partielle qui est présumée permanente ou de longue durée et qui résulte</w:t>
      </w:r>
    </w:p>
    <w:p>
      <w:r>
        <w:t>- 13 -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TF 9C_162/2011 du 11 novembre 2011 consid. 2.3).</w:t>
      </w:r>
    </w:p>
    <w:p>
      <w:r>
        <w:t>- 14 -</w:t>
      </w:r>
    </w:p>
    <w:p>
      <w:r>
        <w:rPr>
          <w:b/>
        </w:rPr>
        <w:t>E. 4.1</w:t>
      </w:r>
    </w:p>
    <w:p>
      <w:r>
        <w:t>; 140 I 285 consid. 6.3.1).</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- 15 -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En l’espèce, les parties s’accordent sur le fait que la capacité de travail de la recourante est nulle dans son activité habituelle de nettoyeuse. Elles sont en revanche en désaccord sur le début cette incapacité de travail durable et sur le taux de la capacité de travail exigible de la recourante dans une activité adaptée. a) Sur le plan somatique, il ressort de l’expertise de D.________ que la recourante rapportait essentiellement des douleurs lombaires diffuses, cervicales et des deux membres supérieurs, accompagnées d’une impression de gonflement des deux mains. Au niveau de la cheville gauche, la recourante conservait un gonflement à la marche et des douleurs à la suite de la fracture tri-maléollaire, qui avait fait l’objet d’une réduction ouverte et ostéosynthèse par plaques vissées le 19 janvier 2021. L’expert rhumatologue a observé que les rachialgies et les douleurs atypiques des membres supérieurs ne s’expliquaient pas par une pathologie somatique. Il n’y avait en particulier aucune raideur rachidienne ni aucune anomalie neurologique de type périphérique. L’IRM rachidienne de novembre 2019 n’objectivait qu’une discopathie protrusive C5-C6 relativement banale au vu de l’âge de la recourante et il n’y avait pas d’atteinte lombaire, discale ou articulaire postérieure visible à l’imagerie. Quant aux lombalgies, elles étaient liées aux troubles statiques avec dysbalance musculaire. Les plaintes alléguées au niveau de la cheville gauche apparaissaient tout à fait plausibles compte tenu du type de fracture subi, de la raideur objectivée à l’examen clinique et du gonflement résiduel. L’expert a conclu qu’avant la fracture de la cheville gauche en janvier 2021, il n’y avait pas de justification somatique à la prescription d’une interruption de travail, même partielle, les lombalgies</w:t>
      </w:r>
    </w:p>
    <w:p>
      <w:r>
        <w:t>- 16 - et cervicobrachialgies bilatérales non spécifiques n’entraînant aucune limitation fonctionnelle. L’atteinte à la cheville gauche entraînait en revanche une incapacité de travail totale dans l’activité de nettoyeuse depuis la fracture le 13 janvier 2021, mais une capacité de travail de 60 % était exigible dans une activité adaptée aux limitations fonctionnelles induites par cette atteinte (à savoir limiter au maximum la marche, en particulier sur terrain irrégulier, la montée et descente d’escaliers ou de barreaux d’échelle ainsi que les tâches en position accroupie ou à genoux). Ces conclusions peuvent être suivies. En effet, aucune pièce médicale versée au dossier ne vient contredire cette appréciation, dûment motivée et convaincante, qui repose sur une anamnèse complète, sur un examen clinique détaillé de la recourante, sur une analyse circonstanciée de la situation, y compris des ressources et des limitations fonctionnelles de la prénommée, et prend au demeurant compte des plaintes émises par elle. La recourante n’émet d’ailleurs aucune critique à l’encontre de l’expertise de D.________ en lien avec l’évaluation de sa situation sur le plan somatique. b) aa) L’évaluation psychiatrique de la recourante a été effectuée par l’experte X.________, qui a posé les diagnostics de trouble dépressif récurrent, épisode actuel moyen, et de trouble somatoforme indifférencié. Concernant le premier diagnostic, elle a relevé que les éléments anamnestiques et les différents rapports du psychiatre traitant documentaient de façon probante la présence de plusieurs épisodes dépressifs par le passé. Bien que le parcours médical fût difficile à reconstituer durant l’évaluation, la recourante faisait mention de plusieurs tentatives de suicide par intoxication médicamenteuse au Portugal, dont une en 1997 au cours de sa deuxième grossesse. Dans son parcours professionnel, la recourante mentionnait par ailleurs avoir perdu à deux reprises un emploi à la suite d’un mouvement dépressif survenu dans des contextes de séparation bien qu’aucune prise en charge n’ait été sollicitée à cette période. Concernant le diagnostic de trouble somatoforme indifférencié, l’experte a exposé que la recourante avait des plaintes</w:t>
      </w:r>
    </w:p>
    <w:p>
      <w:r>
        <w:t>- 17 - somatiques multiples et variables depuis plus de six mois ne pouvant être complètement expliquées par un trouble somatique identifiable sans atteindre le tableau clinique complet et typique d’une somatisation. On retrouvait par ailleurs chez la recourante une histoire médicale difficile à faire préciser que l’on rencontrait habituellement dans ce type de trouble. Le trouble somatoforme indifférencié pouvait créer un certain degré d’involution sociale qui était retrouvée dans son cas. L’experte psychiatre a ensuite expliqué pourquoi elle écartait le diagnostic de syndrome douloureux somatoforme persistant. Il n’y avait pas de douleur persistante et aucun traitement antalgique n’était d’ailleurs prescrit, hormis du Saroten à faible dose pris uniquement à la demande. Durant l’évaluation, il n'était pas retrouvé de sentiment de détresse intense en lien avec la douleur, laquelle ne constituait pas la préoccupation essentielle en permanence de la recourante. L’experte psychiatre a également examiné la présence d’un trouble spécifique de la personnalité qu’elle a exclu. Elle a précisé à ce propos qu’il n’était pas retrouvé de déviation profondément enracinée et se manifestant par une conduite rigide, inadaptée et dysfonctionnelle dans des situations personnelles et sociales variées. Sur le plan anxieux, l’experte n’a pas retrouvé d’élément orientant vers un trouble anxieux constitué. Les plaintes de ce registre étaient floues et difficiles à préciser et ne semblaient pas être au premier plan dans le tableau clinique ni dans les plaintes de la recourante. Les plaintes de l’expertisée semblaient davantage être liées aux difficultés sociales rencontrées et étaient adaptées au contexte. La Dre X.________ a en outre observé que le traitement médicamenteux ne comprenait aucun anxiolytique. Faisant notamment usage de l’outil mini CIF-APP, l’experte a ensuite examiné les ressources et limitations de la recourante. Elle a ainsi retenu que la prénommée était peu limitée pour s’adapter aux règles et routines. Elle était capable de s’en tenir aux règles, d’accomplir ses routines quotidiennes et de respecter ses engagements. Elle était modérément limitée pour la planification et la structuration des tâches. Bien qu’elle pût gérer seule ses activités ménagères et de la vie quotidienne, une curatelle et une dispensation régulière du traitement avaient dû être instaurées. La flexibilité et l’adaptation étaient modérément limitées du fait de difficultés de concentration et d’oublis. De</w:t>
      </w:r>
    </w:p>
    <w:p>
      <w:r>
        <w:t>- 18 - même, la mise en pratique des compétences et connaissances professionnelles était modérément limitée par des difficultés de concentration. La capacité de porter des jugements et prendre des décisions était aussi modérément limitée, la recourante étant aidée par une curatelle et sa fille pour des démarches administratives. La capacité d’endurance et de résistance était modérément prononcée. La capacité de contact et de conversation avec des tiers était modérément limitée avec un certain degré de repli sur soi et une diminution des contacts sociaux. La capacité d’intégration dans un groupe et la capacité aux relations privilégiées à deux étaient également peu limitées. L’experte s’est par ailleurs déterminée sur l’évolution de l’état de santé de la recourante et le traitement suivi, relevant à cet égard que la prise en charge psychiatrique était adaptée et permettait une relative stabilité des éléments dépressifs et une limitation des passages à l’acte auto-agressifs qui semblaient intimement dépendants de la situation sociale et personnelle de la recourante. La Dre X.________ s’est aussi prononcée sur la cohérence des symptômes et des plaintes de la recourante, en relevant que si quelques éléments anamnestiques étaient difficiles à retracer, la recourante était cependant apparue authentique, avait collaboré de manière adaptée, avait décrit des plaintes cohérentes et plausibles et l’experte n’avait pas retrouvé de discordance entre les plaintes et les résultats de l’observation. Dans l’évaluation consensuelle du rapport d’expertise, les experts ont conclu à une capacité de travail de 50 % depuis juillet 2019 en raison des troubles psychiques présentés par la recourante. Cette appréciation peut être suivie, étant précisé que le rapport d’expertise de D.________ remplit les réquisits jurisprudentiels permettant de lui reconnaître pleine valeur probante. bb) Il y a ainsi lieu de constater que la recourante présente une incapacité de travail de 50 % depuis juillet 2019 en raison de ses troubles psychiques, comme l’a du reste reconnu le Dr P.________ du SMR dans son appréciation du 23 juin 2022.</w:t>
      </w:r>
    </w:p>
    <w:p>
      <w:r>
        <w:t>- 19 - Si dans le rapport d’expertise psychiatrique la Dre X.________ a mentionné que la recourante semblait présenter des troubles psychiques dès le début de l’âge adulte, avec une tentative de suicide en 1997, et que le trouble psychiatrique en lui-même justifiait une incapacité de travail de 50 % depuis le début de l’âge adulte, soit avant l’entrée de la recourante en Suisse, il n’est pas possible de déduire de l’expertise qu’il est établi, au degré de la vraisemblance prépondérante requise par la jurisprudence, que la recourante a effectivement présenté une incapacité de travail durable de plus de 40 % depuis le début de l’âge adulte. A cet égard, la Dre X.________ a notamment précisé que l’incapacité de travail de la recourante avait pu fluctuer de manière « importante » en fonction de différents éléments contextuels et sociaux survenus dans son parcours de vie. Ainsi, comme l’a relevé le Dr P.________ du SMR, il apparaît que l’atteinte psychiatrique de la recourante a entraîné une incapacité de travail de 50 % de manière durable depuis juillet 2019 seulement et que les périodes d’incapacité de travail antérieures à cette date n’ont été que transitoires. Les autres pièces médicales versées au dossier ne permettent pas de faire un autre constat. En particulier, le fait que le Dr J.________ a indiqué que certains des diagnostics psychiatriques qu’il a posés prévalaient « à l’âge adulte » ne signifie pas que les atteintes étaient déjà invalidantes à cette date. S’il fait peu de doutes que la recourante a présenté des troubles psychiques alors qu’elle se trouvait au Portugal, elle a toutefois pu travailler en Suisse depuis son arrivée dans ce pays en décembre 2011 et cela durant des années. L’extrait de son compte individuel révèle qu’elle a travaillé pour différents employeurs entre 2012 et 2018, à des taux d’activité variables, et qu’elle a été employée par certains employeurs à un taux d’activité supérieur à 60 % (cf. les activités déployées pour le compte de G.________, de C.________, de Q.________ et de K.________). Ainsi, contrairement à ce qui est indiqué dans l’avis du juriste de l’OAI du 20 juillet 2022, les données chiffrées de l’extrait du compte individuel de la recourante ne permettent pas de corroborer qu’elle aurait présenté une incapacité de travail de 40 % au moins de manière durable depuis le début de l’âge adulte. Il ressort en outre de l’anamnèse figurant dans le rapport d’expertise psychiatrique de D.________ que la prénommée a travaillé dans son pays d’origine dans un café, comme magasinière dans</w:t>
      </w:r>
    </w:p>
    <w:p>
      <w:r>
        <w:t>- 20 - un supermarché et comme vendeuse dans une charcuterie, et que ces emplois n’ont pas pris fin en raison de troubles psychiques (rapport d’expertise psychiatrique, p. 7). La recourante n’a au demeurant pas déposé sa demande de prestations de l’assurance-invalidité en arrivant en Suisse, mais en juillet 2019, soit sept ans et demi après son entrée dans ce pays. cc) Pour le surplus, les griefs formulés par la recourante à l’encontre du volet psychiatrique réalisé par la Dre X.________ ne sont pas de nature à mettre en doute la valeur probante de l’expertise. Contrairement à ce que soutient la recourante, l’experte X.________ a pris en compte l’ensemble des rapports médicaux versés au dossier et n’a pas ignoré les appréciations du Dr J.________. Elle a au demeurant expliqué de manière étayée et convaincante pourquoi elle écartait certains des diagnostics retenus par le psychiatre traitant. Quant au rapport du Dr J.________ produit au stade du recours, il émet une appréciation différente de la situation médicale de la recourante sans faire état d’éléments objectifs qui auraient été ignorés par l’experte psychiatre ou qui seraient de nature à faire douter des conclusions de la prénommée. Les autres critiques générales émises par la recourante à l’encontre de l’expertise ne sont pas déterminantes. Il en va ainsi de l’argument relatif à la durée de l’entretien avec l’experte X.________, étant rappelé que la durée de l’examen clinique pratiqué par un expert n'est pas en soi un critère de la valeur probante d'un rapport médical (TF 9C_550/2014 du 3 février 2015 consid. 4.3.3 ; TF I 533/06 du 23 mai 2007 consid. 5.6). La recourante ne peut être suivie lorsqu’elle soutient ensuite que l’expertise serait « orientée » car elle avait pour but de déterminer si les troubles à la santé préexistaient à son arrivée en Suisse. La date du début de l’incapacité de travail est un élément essentiel à l’examen du droit aux prestations de l’assurance-invalidité et l’intimé pouvait et devait interroger l’experte sur cette question. Ensuite, le seul fait que l’expertise émane de D.________ n’est pas un élément déterminant pour la considérer dépourvue de force probante, étant précisé qu’en l’espèce rien ne laisse suspecter une partialité de la part des experts.</w:t>
      </w:r>
    </w:p>
    <w:p>
      <w:r>
        <w:t>- 21 - dd) Pour finir, les griefs émis par la recourante à l’encontre de l’appréciation du Dr P.________ du SMR sont également infondés. L’absence de spécialisation de ce médecin ne l'empêche pas de porter une appréciation sur la situation médicale de la recourante, le Tribunal fédéral considérant qu’un titre de spécialiste n'est pas une condition requise pour apprécier la valeur probante d'une expertise (TF 9C_542/2011 du 26 janvier 2012 consid. 4.2). c) Au vu de ce qui précède, il y a lieu de constater que la recourante présente une incapacité de travail durable depuis juillet 2019. A la date de la survenance de l’invalidité, elle remplissait donc les conditions générales d’assurance relatives au nombre d’années minimales de cotisations sociales. Pour le surplus, et compte tenu des atteintes somatiques et psychiatriques, on retiendra sur la base des explications ci- dessus que la recourante présente une incapacité de travail globale de 50 %.</w:t>
      </w:r>
    </w:p>
    <w:p>
      <w:r>
        <w:rPr>
          <w:b/>
        </w:rPr>
        <w:t>E. 7</w:t>
      </w:r>
    </w:p>
    <w:p>
      <w:r>
        <w:t>Il reste à examiner le droit de la recourante à une rente d’invalidité sur la base d’une capacité de travail résiduelle de 50 % qu’elle présente depuis juillet 2019 dans une activité adaptée aux limitations fonctionnelles retenues par l’intimé, qui ne sont pas contestées. a) aa)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w:t>
      </w:r>
    </w:p>
    <w:p>
      <w:r>
        <w:t>- 22 - celui qu’il pourrait obtenir en exerçant l’activité qui peut raisonnablement être exigée de lui après les traitements et les mesures de réadaptation, sur un marché du travail équilibré (revenu avec invalidité ; art. 16 LPGA).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w:t>
      </w:r>
    </w:p>
    <w:p>
      <w:r>
        <w:t>- 23 -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b) Concernant le revenu sans invalidité de la recourante, c’est à tort que l’intimé s’est fondé sur les salaires statistiques ressortant de l’ESS au motif que la prénommée présentait une atteinte invalidante apparue avant son arrivée en Suisse en 2011. Comme l’a retenu le service de réadaptation professionnelle de l’intimé en juin 2022, le revenu sans invalidité doit être calculé sur la base du salaire qu’aurait pu réaliser la recourante sans atteinte à la santé auprès de son ancien employeur Z.________ SA, étant précisé que l’intimé a reconnu que la recourante avait un statut d’active à plein temps. Il ressort des informations fournies par la société précitée que le salaire horaire de la recourante était de 19 fr. 10 en 2019, ce qui correspond au salaire minimal pour un nettoyeur d’entretien sans diplôme selon la Convention collective de travail du secteur du nettoyage pour la Suisse romande (ci-après : CCT). Pour 2020, la CCT prévoyait un salaire horaire de 19 fr. 25 pour cette catégorie d’employés. Il ressort en outre des documents fournis par l’ancien employeur que la durée hebdomadaire de travail au sein de l’entreprise était de 43 heures, ce qui correspond à la durée hebdomadaire maximale de travail prévue dans la CCT. Le revenu sans invalidité de la recourante</w:t>
      </w:r>
    </w:p>
    <w:p>
      <w:r>
        <w:t>- 24 - pour 2020 doit donc être fixé à 46'809 fr. 26 (19 fr. 25 x 43 heures x 4,35 semaines x 13 mois). Pour la détermination du revenu sans invalidité, c’est à juste titre que l’intimé s’est référé au salaire moyen de 4'371 fr. touché par une femme pour des activités simples et répétitives dans les domaines des services et de la production selon l’ESS 2018. Rapporté à la durée hebdomadaire moyenne de travail en entreprise en 2020 (41,7 heures) et indexé à l’année 2020 (+ 1 % en 2019 et + 0,9 % en 2020), on obtient un revenu sans invalidité de 27'862 fr. 53 pour un taux d’activité de 50 %. Les circonstances du cas d’espèce ne justifient pas d’opérer un abattement sur ce revenu, et encore moins un abattement de 15 % qui serait nécessaire pour ouvrir le droit à une demi-rente. En particulier, les limitations fonctionnelles de la recourante ont été prises en compte dans l’appréciation de sa capacité de travail dans une activité adaptée, soit sur le taux d’activité retenu. L’absence de formation professionnelle n’est en outre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La nationalité de la recourante n’est pas non plus une entrave à l’exercice d’une activité lucrative en Suisse, puisqu’elle est au bénéfice d’une autorisation d’établissement. Son âge ne saurait non plus entraîner un abattement, dès lors qu’elle avait 42 ans au moment de la naissance du droit à la rente, soit un âge très éloigné de celui de la retraite. La comparaison d'un revenu sans invalidité de 46'809 fr. 26 avec un revenu d'invalide de 27'862 fr. 53 aboutit à un degré d'invalidité de 40 %, qui ouvre le droit à un quart de rente dès le 1er juillet 2020 (art. 28 al. 1 let. b et 29 al. 1 LAI).</w:t>
      </w:r>
    </w:p>
    <w:p>
      <w:r>
        <w:rPr>
          <w:b/>
        </w:rPr>
        <w:t>E. 8</w:t>
      </w:r>
    </w:p>
    <w:p>
      <w:r>
        <w:t>Le dossier est complet et permet à la Cour de céans de statuer en pleine connaissance de cause. La réquisition de preuve sollicitée par la recourante tendant à la mise en œuvre d’une expertise médicale, qui ne</w:t>
      </w:r>
    </w:p>
    <w:p>
      <w:r>
        <w:t>- 25 - serait pas de nature à modifier les considérations qui précèdent, doit ainsi être rejetée (appréciation anticipée des preuves : ATF 145 I 167 consid.</w:t>
      </w:r>
    </w:p>
    <w:p>
      <w:r>
        <w:rPr>
          <w:b/>
        </w:rPr>
        <w:t>E. 9</w:t>
      </w:r>
    </w:p>
    <w:p>
      <w:r>
        <w:t>a) Il résulte de ce qui précède que le recours doit être admis et la décision attaquée réformée en ce sens que la recourante a droit à un quart de rente d’invalidité depuis le 1er juillet 2020.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qui succombe. c) Obtenant gain de cause avec l’assistance d’un mandataire qualifié, la recourante a droit à une indemnité de dépens à titre de participation aux honoraires de son conseil (art. 61 let. g LPGA). Me Duc a produit une liste des opérations accomplies pour son mandat d'office. Il convient d'en tenir compte pour fixer les dépens. Cette liste ne peut toutefois pas être entièrement suivie, dans la mesure où l'activité déployée dépasse ce qu'admet la pratique de la Cour dans l'estimation du temps objectivement requis pour le traitement de cas de ce genre eu égard à l'importance. Compte tenu de l’importance et de la complexité du litige, il convient d’arrêter l’indemnité de dépens à 4'000 fr., débours et TVA compris, et de la mettre intégralement à la charge de la partie intimée (art. 10 et 11 TFJDA [tarif du 28 avril 2015 des frais judiciaires et des dépens en matière administrative ; BLV 173.36.5.1]). La recourante est au bénéfice de l’assistance judiciaire. Le montant des dépens arrêté ci-avant correspond au moins à ce qui aurait été alloué à titre d’indemnité pour le mandat d’office, de sorte que l'on peut renoncer, en l'état, à fixer cette indemnité (art. 4 RAJ [règlement cantonal vaudois du 7 décembre 2010 sur l’assistance judiciaire en matière civile ; BLV 211.02.3]).</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