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ZD22.045169 vom 13. September 2024</w:t>
      </w:r>
    </w:p>
    <w:p>
      <w:r>
        <w:t>VD Tribunal cantonal, 2024-09-13, FR</w:t>
      </w:r>
    </w:p>
    <w:p>
      <w:r>
        <w:rPr>
          <w:b/>
        </w:rPr>
        <w:t xml:space="preserve">Quelle: </w:t>
      </w:r>
      <w:r>
        <w:t>https://mcp.opencaselaw.ch/entscheid/vd_gerichte_ZD22.045169</w:t>
      </w:r>
    </w:p>
    <w:p>
      <w:r>
        <w:t>FR: VD_GERICHTE ZD22.045169 du 13 septembre 2024</w:t>
      </w:r>
    </w:p>
    <w:p>
      <w:r>
        <w:t>IT: VD_GERICHTE ZD22.045169 del 13 settembre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w:t>
      </w:r>
    </w:p>
    <w:p>
      <w:r>
        <w:t>- 10 -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4</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w:t>
      </w:r>
    </w:p>
    <w:p>
      <w:r>
        <w:t>- 11 - disposition, qui prévoit que, si le taux d’invalidité du bénéficiaire de la rente subit une modification notable, la rente est, d’office ou sur demande, révisée pour l’avenir, à savoir augmentée ou réduite en conséquence, ou encore supprimée.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w:t>
      </w:r>
    </w:p>
    <w:p>
      <w:r>
        <w:t>- 12 -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a) Dans le cadre de la procédure ayant fait suite à la demande de prestations du 21 janvier 2015, les experts du centre d'expertises Z.________ ont mis en évidence, dans leur rapport du 20 décembre 2017, le diagnostic incapacitant de diabète de type 1 (depuis 2001) et les diagnostics non incapacitants de troubles dépressifs récurrents, actuellement en rémission (CIM-10 F33.4), de lombalgies (en 2014), de cervico-brachialgies (en 2016), d’insertionite au coude droit, d’hypothyroïdie traitée, d’hypertension artérielle traitée, d’hypercholestérolémie traitée et de tabagisme. D’après eux, la recourante présentait des limitations fonctionnelles sur le plan physique uniquement : elle manifestait une fragilité et une fatigabilité augmentées ; elle ne pouvait pas porter de charges de plus de 10 kg ni travailler en hauteur ; elle devait disposer d’horaires réguliers et travailler en journée, avec la possibilité de prendre des collations ; l’activité de chauffeur professionnel était enfin exclue. Aucune limitation fonctionnelle de nature psychique n'a en revanche été constatée. La capacité de travail était ainsi intacte dans toute activité, sous réserve d’une diminution de rendement de l’ordre de 10 %, afin de permettre à la recourante d’effectuer les contrôles glycémiques pour son diabète. b) Dans le cadre de la procédure relative à la nouvelle demande de prestations du 29 janvier 2021, les experts du centre</w:t>
      </w:r>
    </w:p>
    <w:p>
      <w:r>
        <w:t>- 13 - d'expertises V.________ ont posé, dans leur rapport du 12 janvier 2022, les diagnostics – avec incidence sur la capacité de travail – de diabète de type 1 insulinotraité (depuis 2001), de capsulite rétractile de l'épaule gauche (CIM-10 M75.0), de tendinite de la coiffe des rotateurs avec syndrome sous-acromial de l'épaule droite (CIM-10 M75.1 et M75.5), de douleurs lombaires sans irradiation dans les membres inférieurs sur discopathie (CIM-10 M54.5), de trouble dépressif récurrent, épisode actuel léger (CIM-10 F33.0), et de trouble de la personnalité émotionnellement labile de type borderline non décompensé (CIM-10 F60.31) ainsi que les diagnostics – sans influence sur la capacité de travail – d’hypothyroïdie substituée, d’hypertension artérielle, d’hypercholestérolémie, de rhinite pérenne allergique et de discopathies cervicales sans syndrome rachidien ni irradiation. Selon eux, la capacité de travail de la recourante était nulle depuis 2016 dans l’activité habituelle de femme de ménage pour des motifs rhumatologiques et pleine depuis toujours dans une activité adaptée, à savoir une activité respectant les limitations fonctionnelles déjà retenues par les experts du centre d'expertises Z.________ ainsi que n’exigeant pas d'efforts de soulèvement à partir du sol de plus de 5 kg, de porte-à-faux du buste et du rachis cervical, de port de charge proche du corps supérieure à 10 kg, d'effort au-delà de 90° d'abduction ou d'antépulsion du membre supérieur droit, de rotation externe du membre supérieur gauche, coude au corps, au-delà de 20° et de mouvements en abduction rotation externe du membre supérieur gauche et prenant en considération les difficultés moyennes de l’assurée à s’adapter aux règles et aux routines, à faire preuve de flexibilité et de capacités d'adaptation et à réaliser des activités de manière spontanée. Après avoir pris connaissance de cette expertise, la Dre P.________, du SMR, s’est ralliée à ses conclusions, exception faite, d’une part, de la date de l’aggravation de l’état de la recourante, qu’elle a fixé en 2019, dans la mesure où le dossier ne contenait aucune imagerie susceptible de documenter une atteinte des deux épaules existant depuis 2016, et, d’autre part, de la capacité de travail dans une activité adaptée, qu’elle a évalué à 90 % afin de tenir compte d’une baisse de rendement de 10 % liée au diabète.</w:t>
      </w:r>
    </w:p>
    <w:p>
      <w:r>
        <w:t>- 14 - c) Cela étant, il n’y a pas lieu de s’écarter des conclusions de cette seconde expertise telles que nuancées par le service médical de l’intimé. Les points litigieux ont en effet fait l’objet d’une étude circonstanciée. L’experte psychiatre a, en particulier, expliqué pourquoi seul un épisode dépressif léger pouvait être retenu et pourquoi le diagnostic d’intelligence limite – dont faisait état la Dre M.________ dans son rapport du 26 février 2021 – devait être écarté, le bilan neuropsychologique réalisé en parallèle de l’expertise ayant conclu à un fonctionnement intellectuel dans la norme, avec un quotient intellectuel à 94. Elle a tenu compte des limitations d’ordre psychiatrique mentionnées par la psychiatre traitante et par le Dr C.________ dans leurs rapports respectifs des 28 janvier et 27 août 2021, mais a estimé qu’elles étaient sans impact sur la capacité de travail, cette experte n’ayant observé ni fatigue ou fatigabilité ni troubles mnésiques et de la concentration durant l’entretien. Pour le reste, le rapport d’expertise pluridisciplinaire se fonde sur des examens somatiques et psychiques complets et a été établi en pleine connaissance du dossier ; les plaintes de la recourante, en particulier celles en lien avec ses douleurs aux épaules et son diabète, ont été prises en compte ; quant à la situation sur le plan médical, elle a été décrite de façon claire ; et pour finir, les conclusions relatives à la capacité de travail ont été suffisamment motivées. Sur ce dernier point, l’experte en médecine interne a constaté un diabète bien équilibré, qui avait évolué de façon bénigne, sans hospitalisation ni complication importante. Cette pathologie n’empêchait dès lors pas la recourante de travailler dans une activité adaptée, par exemple en tant que maman de jour. L’expert rhumatologue a, lui, notamment signalé que la capsulite rétractile de l’épaule gauche était actuellement peu douloureuse, mais était à l’origine d’une restriction des mobilisations dans tous les plans de l’espace. Aucun élément n’allait en revanche dans le sens d’une polyneuropathie, d’une fibromyalgie, d’une hyperlaxité articulaire ou d’une polyarthrite inflammatoire ou liée au diabète. L’experte psychiatre a, pour sa part, procédé à l’examen de la capacité de travail de la recourante à l’aune des exigences jurisprudentielles en la matière (cf. supra consid. 3c). A cet égard, elle a relevé – entre autres constatations – que l'assurée pouvait</w:t>
      </w:r>
    </w:p>
    <w:p>
      <w:r>
        <w:t>- 15 - encore bénéficier d'une psychothérapie cognitivo-comportementale en vue d’une meilleure gestion de son comportement alimentaire et de ses émotions ainsi que d'une réévaluation du traitement médicamenteux antidépresseur ; qu’elle disposait de ressources mobilisables, dans la mesure où elle s’occupait de son ménage et se préparait à manger, se promenait avec son colocataire et avait des contacts avec ses amies au [...] et en [...] ; et qu’elle voulait donner l’impression d’être isolée, alors qu’en réalité elle profitait d’un réseau social soutenant. Sa personnalité semblait en revanche altérée, avec un comportement passif et de victimisation face à la maladie de même qu’un sens des réalités, une capacité de jugement, une aptitude à nouer des contacts, une capacité relationnelle, une gestion de l'affect, une faculté à contrôler les impulsions, une estime de soi, une capacité à l'autocritique, une intentionnalité et un dynamisme diminués, sans toutefois que ces éléments aient un impact sur son aptitude au travail. d) Il apparaît donc que, depuis la décision du 2 juillet 2018 de l’intimé, la situation globale de la recourante sur le plan médical – que ce soit du point de vue de la médecine interne générale, rhumatologique ou psychiatrique – ne s’est pas sensiblement péjorée, de manière à influer sur son droit aux prestations, celle-ci demeurant capable de travailler à un taux de 90 % dans une activité adaptée à ses limitations fonctionnelles. Les rapports des 8 août et 7 novembre 2022 de la Dre M.________ – produits par la recourante lors des procédures d’opposition au projet de décision du 2 août 2022 et de recours – ne permettent pas de susciter des doutes quant au bien-fondé des conclusions desdits experts. En effet, comme exposé ci-dessus, les limitations fonctionnelles psychiatriques mentionnées dans ce premier rapport ont été prises en compte dans le cadre de l’expertise du centre d'expertises V.________, la Dre Q.________ ayant exposé les motifs pour lesquels elle ne les avait pas toutes retenues dans son analyse. Les critiques formulées par la psychiatre traitante à l’encontre du bilan neuropsychologique réalisée par la psychologue U.________ au sujet du quotient intellectuel de sa patiente ont pour le reste été infirmées par le bilan neuropsychologique effectué à la fin de l’année</w:t>
      </w:r>
    </w:p>
    <w:p>
      <w:r>
        <w:t>- 16 - 2023 auprès de l’institution Y.________, lequel a également fait état d’un fonctionnement intellectuel dans la moyenne. e) Cela étant, on ne saurait ignorer que ce second bilan neuropsychologique a mis en évidence un certain nombre d’éléments – principalement au niveau de l’attention et des fonctions exécutives – qui laissent à penser que la situation de la recourante se serait aggravée depuis le rendu de la décision litigieuse du 10 octobre 2022. Etant donné que cette problématique sort de l’objet de la présente contestation (cf. ATF 144 V 210 consid. 4.3.1), il convient d’inviter l’intimé à reprendre l’instruction du dossier, afin de déterminer si l’évolution de l’état de santé de la recourante peut justifier l’ouverture d’un droit aux prestations.</w:t>
      </w:r>
    </w:p>
    <w:p>
      <w:r>
        <w:rPr>
          <w:b/>
        </w:rPr>
        <w:t>E. 7</w:t>
      </w:r>
    </w:p>
    <w:p>
      <w:r>
        <w:t>a) Dès lors que la recourante est apte à exercer, à 90 %, une activité adaptée à ses limitations fonctionnelles, il convient encore d’évaluer son degré d’invalidité, dans le but de savoir si elle peut prétendre à une rente. L’année déterminante pour la comparaison des revenus est 2021 (cf. ATF 129 V 222). b) S’agissant du revenu sans invalidité, il convient de le calculer à l’aune des tableaux TA1_skill-level de l’Enquête suisse sur la structure des salaires (ESS), celui-ci ne pouvant en l’occurrence pas être déterminé en fonction de l’activité habituelle exercée avant l’atteinte à la santé (cf. ATF 126 V 75), la recourante ne travaillant plus depuis 2017 et ayant occupé de multiples emplois avant cette date. Ainsi, selon les données pour l’année 2020, le salaire auquel pouvaient prétendre les femmes dans des activités manuelles simples était de 4'276 fr. pour une semaine de travail de 40 heures. Compte tenu d'une durée hebdomadaire moyenne de travail de 41,7 heures cette année-là dans ce secteur d’activités (cf. OFS, Durée normale du travail dans les entreprises selon la division économique [NOGA 2008], en heures par semaine, T 03.02.03.01.04.01), le revenu annuel sans invalidité – indexé à 2021 – se monte à 53'813 fr. 70. En ce qui concerne le revenu avec invalidité, il sied également de l’estimer à l’aide de l’ESS, l'assurée n’ayant pas repris d’activité lucrative (cf. ATF 143 V 295 consid. 2.2 ; 129 V 472 consid.</w:t>
      </w:r>
    </w:p>
    <w:p>
      <w:r>
        <w:t>- 17 - 4.2.1). Partant, indexé à 2021, celui-ci se monte à 46'010 fr. 75 au regard d’une capacité résiduelle de travail de 90 % et d’un abattement – non contesté – de 5 % visant à prendre en considération les limitations fonctionnelles de l’assurée. c) Il résulte de la comparaison du revenu d’invalide de 46'010 fr. 75 au revenu sans invalidité de 53'813 fr. 70 un degré d’invalidité – arrondi – de 15 %. Ce dernier étant inférieur au seuil de 40 % ouvrant le droit à une rente (cf. supra consid. 3b), c’est en conséquence à juste titre que l’intimé a refusé à la recourante le versement de cette prestation.</w:t>
      </w:r>
    </w:p>
    <w:p>
      <w:r>
        <w:rPr>
          <w:b/>
        </w:rPr>
        <w:t>E. 8</w:t>
      </w:r>
    </w:p>
    <w:p>
      <w:r>
        <w:t>a) En définitive, le recours, mal fondé, doit être rejeté et la décision rendue le 10 octobre 2022 par l'intimé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a été mise au bénéfice de l’assistance judiciaire par décision du 10 janvier 2023 du Juge instructeur avec effet au 21 novembre 2022. Les frais judiciaires mis à sa charge ci-avant sont donc provisoirement supportés par l’Etat et Me Yann Jaillet peut prétendre à une équitable indemnité pour son mandat d’office, qu’il convient de fixer à 1'200 fr., débours et TVA compris (art. 2, 3 al. 2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w:t>
      </w:r>
    </w:p>
    <w:p>
      <w:r>
        <w:t>- 18 -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