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ZD22.045001 vom 17. Juni 2024</w:t>
      </w:r>
    </w:p>
    <w:p>
      <w:r>
        <w:t>VD Tribunal cantonal, 2024-06-17, FR</w:t>
      </w:r>
    </w:p>
    <w:p>
      <w:r>
        <w:rPr>
          <w:b/>
        </w:rPr>
        <w:t xml:space="preserve">Quelle: </w:t>
      </w:r>
      <w:r>
        <w:t>https://mcp.opencaselaw.ch/entscheid/vd_gerichte_ZD22.045001</w:t>
      </w:r>
    </w:p>
    <w:p>
      <w:r>
        <w:t>FR: VD_GERICHTE ZD22.045001 du 17 juin 2024</w:t>
      </w:r>
    </w:p>
    <w:p>
      <w:r>
        <w:t>IT: VD_GERICHTE ZD22.045001 del 17 giugno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- 16 -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- 17 -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w:t>
      </w:r>
    </w:p>
    <w:p>
      <w:r>
        <w:t>- 18 - d) Les rapports d’examen réalisés par un SMR en vertu de l’art. 49 al. 2 RAI peuvent revêtir la même valeur probatoire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 faibles, subsistent quant à la fiabilité et à la pertinence des constatations médicales effectuées par le service médical interne de l’assurance (ATF 135 V 465 consid. 4.6).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L’appréciation de la capacité de travail relève principalement de la compétence du corps médical (ATF 140 V 193 consid. 3.2). Le rôle du médecin est d’indiquer dans quelle mesure et pour quelles activités la personne assurée est incapable de travailler, en se fondant sur des constatations médicales et objectives, c’est-à-dire des observations cliniques qui ne dépendent pas uniquement des déclarations de l’intéressé, mais sont confirmées par le résultat des examens cliniques et paracliniques (TF 8C_96/2021 du 27 mai 2021 consid. 4.3.1). En outre, les</w:t>
      </w:r>
    </w:p>
    <w:p>
      <w:r>
        <w:t>- 19 -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8C_713/2019 du 12 août 2020 consid. 5.2 ; 8C_760/2014 du 15 octobre 2015 consid. 4.3 ; 9C_631/2007 du 4 juillet 2008 consid. 4. 1).</w:t>
      </w:r>
    </w:p>
    <w:p>
      <w:r>
        <w:rPr>
          <w:b/>
        </w:rPr>
        <w:t>E. 6</w:t>
      </w:r>
    </w:p>
    <w:p>
      <w:r>
        <w:t>En l’espèce, il n’est pas contesté que le recourant présente une incapacité de travail totale dans son activité habituelle depuis le mois de mai 2016. Est en revanche contestée la question de la capacité de travail dans une activité adaptée, l’OAI ayant considéré qu’elle était de 75 % alors que le recourant a soutenu que les rapports de ses médecins ne permettaient pas de démontrer une telle capacité de travail résiduelle tout en faisant valoir qu’il n’avait pas réussi à continuer les stages qui lui avaient été proposés. a) Pour déterminer le droit aux prestations de l’assurance- invalidité du recourant, l’OAI s’est essentiellement fondé sur le rapport d’examen clinique rhumatologique SMR du 2 octobre 2019 du Dr Z.________. Cet examen avait été préconisé par le Dr L.________, du SMR, dans un avis du 19 juin 2019 afin de définir la capacité de travail du recourant après avoir reçu un rapport du Dr P.________ du 5 avril 2019 attestant en l’état une incapacité de travail totale tant dans l’activité habituelle que dans une activité adaptée alors qu’un avis SMR du 12 juin 2018 avait estimé que la capacité de travail dans une activité adaptée pouvait être de 100 %. b) aa) On constatera tout d’abord que, dans son rapport du 2 octobre 2019, le Dr Z.________ a pris ses conclusions de manière motivée en pleine connaissance du dossier médical du recourant, notamment radiologique, sur la base d’une anamnèse complète, tenant notamment compte des habitudes et de la vie quotidienne du recourant ainsi que de ses plaintes et après avoir procédé à un examen clinique détaillé. Son</w:t>
      </w:r>
    </w:p>
    <w:p>
      <w:r>
        <w:t>- 20 - rapport peut par conséquent se voir reconnaître une pleine valeur probante, ce que le recourant n’a d’ailleurs pas contesté. On relèvera ici que l’argument du recourant selon lequel le critère de la douleur aurait été mis à l’écart ne saurait être suivi dans la mesure où les douleurs rapportées par le recourant ont dûment été prises en considération par le Dr Z.________ qui a explicitement discuté cet aspect dans son rapport (cf. notamment pp. 10 ss). bb) Le Dr Z.________ a retenu le diagnostic avec répercussion durable sur la capacité de travail de dorsolombalgies dans le cadre de discrets troubles statiques du rachis et de troubles dégénératifs lombaires et cervicaux avec petite hernie discale L4-L5 gauche et hernie discale C6- C7 gauche. Il a également retenu les diagnostics sans effet sur la capacité de travail de méralgie paresthétique droite, d’obésité avec BMI à 32 et de status variqueux des membres inférieurs. Ces diagnostics, qui ont notamment été confirmés par les Drs P.________ et V.________ (cf. rapports des 18 octobre 2017, 5 avril 2019, 5 avril 2020 et 13 avril 2022), ne sont pas remis en cause par le recourant pas davantage que les limitations fonctionnelles corrélatives seules pertinentes qui a uniquement contesté la capacité de travail de 75 % retenue dans une activité adaptée depuis le 27 mai 2016. Or force est de constater que ce taux a également été attesté par le Dr P.________ dans son rapport du 5 avril 2020 dans lequel il a indiqué que si la capacité de travail dans une activité adaptée était de 50 % dans un premier temps, elle serait ensuite de 75 % une fois la réhabituation faite. Il a même précisé que son seul argument relatif au taux réduit de la capacité de travail était la durée très longue de l’arrêt de travail du recourant, à savoir un facteur étranger à l’état de santé de son patient. Contrairement à ce qu’a soutenu le recourant, ce taux n’est infirmé par aucun des médecins l’ayant suivi, les Drs R.________, B.________, F.________ et V.________ ne s’étant prononcés ni sur sa capacité de travail, ni sur des limitations fonctionnelles qui auraient erronément été écartées (cf. rapports des 28 novembre, 23 avril 2020, 13 avril et 28 juin 2022) et le Dr B.________ ayant en outre mentionné, dans son rapport du 19 décembre 2019, que son estimation de la capacité de travail dans une</w:t>
      </w:r>
    </w:p>
    <w:p>
      <w:r>
        <w:t>- 21 - activité adaptée était bonne. De plus, le simple certificat d'arrêt de travail non motivé du 29 août 2022 du Dr V.________, outre le fait qu’il est admis de jurisprudence constante que le médecin traitant est généralement enclin, en cas de doute, à prendre parti pour son patient en raison de la relation de confiance qui l’unit à ce dernier (ATF 135 V 465 consid. 4.5), ne saurait constituer une pièce suffisante pour remettre en cause les rapports complets des Drs Z.________ et P.________. On relèvera encore que le Dr V.________, nouveau médecin-traitant sans recul sur la situation, n’a évoqué aucune aggravation dans son rapport du 13 avril 2022 précisant au contraire qu’il n’y avait eu aucune évolution depuis trois ans sur le plan des lombalgies. cc) Le recourant a allégué n’avoir jamais été en mesure de terminer les stages qui lui avaient été proposés confirmant par là son incapacité à travailler. Si le rapport de l’[...] du 9 mars 2022 fait état d’une capacité de travail de 25 %, il y a toutefois lieu de se fier aux données médicales qui l’emportent en principe sur les observations faites à l’occasion d’un stage d’observation professionnelle, la capacité de travail étant une question devant être évaluée en premier lieu par un médecin (ATF 140 V 193 consid. 3.2). De plus, le rapport précité a précisé que le rendement ne pouvait pas être estimé de façon fiable. En outre, un stage peut ne pas constituer une activité adaptée sans que cela signifie qu’aucune autre activité adaptée à 75 % ne puisse être effectuée. En tout état de cause, la capacité de travail constatée a été influencée également par des facteurs étrangers aux limitations fonctionnelles qui ne sauraient être pris en considération dans le cadre de l’assurance-invalidité. A cet égard, on relèvera que le rapport du Dr V.________ du 13 avril 2022, s’il a attesté une incapacité de travail totale du 5 juillet 2021 au 29 mai 2022, n’a aucunement motivé cette appréciation, singulièrement n’a décrit aucune aggravation, ni limitations fonctionnelles supplémentaires. c) Au vu de ce qui précède, c'est à juste titre que l'intimé a retenu que, au moment de la décision litigieuse, le recourant présentait une capacité de travail de 75 % dans une activité adaptée à ses limitations fonctionnelles. S’agissant des limitations fonctionnelles, on relèvera</w:t>
      </w:r>
    </w:p>
    <w:p>
      <w:r>
        <w:t>- 22 - cependant que l’OAI n’a pas repris toutes les limitations indiquées par le Dr L.________ dans son avis du 13 mai 2022, notamment la nécessité d’avoir des horaires réguliers, l’absence de travail de nuit et l’exposition aux produits irritant les voies aériennes respiratoires, sans que cela ne soit contesté par le recourant, ni que cela ait une influence, à tout le moins significative, sur la capacité de travail dans une activité adaptée, les limitations d’ordre rhumatologiques ayant été retenues à juste titre.</w:t>
      </w:r>
    </w:p>
    <w:p>
      <w:r>
        <w:rPr>
          <w:b/>
        </w:rPr>
        <w:t>E. 7</w:t>
      </w:r>
    </w:p>
    <w:p>
      <w:r>
        <w:t>La question de la capacité de travail résiduelle étant tranchée, il convient d'examiner le dossier sous l'angle économique et de déterminer si le recourant a droit à une rente d'invalidité, compte tenu des périodes d’incapacité de travail totale (cures de hernies et complications).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w:t>
      </w:r>
    </w:p>
    <w:p>
      <w:r>
        <w:t>- 23 -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8</w:t>
      </w:r>
    </w:p>
    <w:p>
      <w:r>
        <w:t>a) En l’espèce, le recourant n’a pas contesté la méthode choisie et le calcul du degré d’invalidité effectué par l’intimé. Vérifiés d’office, il apparaît que l’OAI aurait dû procéder à la comparaison des</w:t>
      </w:r>
    </w:p>
    <w:p>
      <w:r>
        <w:t>- 24 - gains avec et sans invalidité du recourant par rapport à l’année 2017. C’est en effet l’année de l’ouverture éventuelle du droit à la rente qui doit être prise en compte pour le calcul du degré d’invalidité (ATF 134 V 322 consid. 4.1 ; 129 V 222). Toutefois, l’indexation de 0,4 % des montants retenus par l’OAI ne change pas le degré d’invalidité qui se monte toujours à 28 %. b) Il n’est pas contesté que le recourant s’est trouvé en totale incapacité de travail du 15 février 2021 au 30 juin 2021 (cf. rapport du 24 juin 2021 du Dr B.________ et rapport d’examen du SMR du 13 mai 2022). L’OAI a dès lors procédé à un calcul de l’incapacité de travail moyenne pour déterminer le début de la nouvelle longue maladie et a déterminé l’ouverture du droit au 1er avril 2021. S’il peut être suivi sur ce point, il ne peut cependant pas être suivi quant à l’octroi d’un quart de rente du 1er avril au 30 juin 2021. En effet,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En revanche, l’art. 28 al. 1 let. c LAI détermine l’étendue du droit à la rente en se référant au taux d’invalidité existant au moment où le délai arrive à échéance. Or force est de constater qu’au 1er avril 2021, l’incapacité de travail du recourant était totale et lui donne droit à une rente entière d’invalidité jusqu’au 30 septembre 2021 (trois mois après qu’il ait retrouvé une capacité de travail de 75 % dans une activité adaptée). Il convient ainsi de corriger la décision querellée sur ce point. La rente est ensuite supprimée, au vu de la capacité de travail à 75 % recouvrée. c) On relèvera encore que même si le taux d’invalidité du recourant atteint le seuil de 20 % qui ouvre le droit à un reclassement professionnel (art. 17 al. 1 LAI ; ATF 139 V 399 consid. 5.3), une telle mesure n’entre toutefois pas en ligne de compte en l’espèce, dès lors que</w:t>
      </w:r>
    </w:p>
    <w:p>
      <w:r>
        <w:t>- 25 - le recourant a déjà été mis au bénéfice d’une telle mesure (cf. communication du 16 septembre 2021), sans succès. Le recourant n’a du reste pas formulé de grief spécifique s’agissant des mesures dans la présente procédure ni conclu à leur octroi en sa faveur. On rappellera ici que l’OAI a communiqué au recourant, dans un courrier du 9 septembre 2022, la possibilité qui lui était offerte de redemander une aide au placement s’il le désirait, par l’envoi d’un simple courrier.</w:t>
      </w:r>
    </w:p>
    <w:p>
      <w:r>
        <w:rPr>
          <w:b/>
        </w:rPr>
        <w:t>E. 9</w:t>
      </w:r>
    </w:p>
    <w:p>
      <w:r>
        <w:t>Le dossier est complet, permettant ainsi à la Cour de statuer en connaissance de cause. Un complément d’instruction apparaît inutile et les requêtes formulées en ce sens par le recourant dans ses écritures – à savoir, la mise en œuvre d’une expertise judiciaire rhumatologique, l’audition d’un employé d’Y.________ et de son ancien médecin traitant en tant que témoins – doivent être rejetées. En effet, l’audition d’un collaborateur présent lors d’un des stages ne se justifie pas, cette personne n’ayant pas les qualités requises pour évaluer la capacité de travail du recourant. Quant au Dr P.________, il a déjà donné son avis au moyen de plusieurs rapports, lesquels ont été pris en considération lors de l’examen rhumatologique. On ne voit pas non plus en quoi son audition permettrait de modifier l’appréciation de la capacité de travail, étant précisé d’une part qu’il s’agit de son ancien médecin traitant qui ne pourra donc pas parler d’événements actuels, et d’autre part, qu’il s’agit de l’évaluation de la capacité de travail sur la base des mêmes éléments d’atteinte à la santé et de limitations fonctionnelles, étant rappelé que le médecin traitant est toujours plus enclin à prendre parti pour son patient. Au demeurant l’expert Z.________ a en substance suivi le Dr P.________. Faute d’être susceptible d’apporter des éléments pertinents nouveaux, la réquisition d’audition de témoins est donc rejetée. Ensuite, la réquisition de mise en œuvre d’une expertise judiciaire rhumatologique est également rejetée, l’instruction ayant été menée de manière complète par l’OAI qui a pris le soin de diligenter un examen rhumatologique et de se renseigner auprès de l’ensemble des médecins (pneumologue, chirurgien digestif, diabétologue), sur l’ensemble des atteintes à la santé du recourant pouvant induire des limitations fonctionnelles, parfois à plusieurs reprises, en sorte qu’il est possible de statuer en l’état du dossier</w:t>
      </w:r>
    </w:p>
    <w:p>
      <w:r>
        <w:t>- 26 - par appréciation (anticipée) des preuves (ATF 145 I 167 consid. 4.1 ; 140 I 285 consid. 6.3.1 ; 130 II 425 consid. 2.1). Au demeurant, on rappelle que le recourant n’a critiqué aucun diagnostic, ni limitations fonctionnelles d’ordre rhumatologique, en sorte qu’on ne perçoit pas quel aspect nécessiterait d’être davantage instruit. Enfin, aucune pièce produite ne permet de douter des conclusions du SMR suivies par l’OAI, en sorte qu’un examen supplémentaire ne serait pas de nature à influencer le sort de la cause.</w:t>
      </w:r>
    </w:p>
    <w:p>
      <w:r>
        <w:rPr>
          <w:b/>
        </w:rPr>
        <w:t>E. 10</w:t>
      </w:r>
    </w:p>
    <w:p>
      <w:r>
        <w:t>a) En définitive, le recours doit être admis et la décision attaquée réformée en ce sens que le recourant a droit à une rente entière d’invalidité du 1er avril au 30 septembre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Obtenant gain de cause avec l'assistance d'un mandataire professionnel, le recourant a droit à des dépens (art. 61 let. g LPGA), qu’il convient de fixer à 2'100 fr. et de mettre à la charge de l'OAI qui succombe,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