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ZD22.044626 vom 22. Dezember 2023</w:t>
      </w:r>
    </w:p>
    <w:p>
      <w:r>
        <w:t>VD Tribunal cantonal, 2023-12-22, FR</w:t>
      </w:r>
    </w:p>
    <w:p>
      <w:r>
        <w:rPr>
          <w:b/>
        </w:rPr>
        <w:t xml:space="preserve">Quelle: </w:t>
      </w:r>
      <w:r>
        <w:t>https://mcp.opencaselaw.ch/entscheid/vd_gerichte_ZD22.044626</w:t>
      </w:r>
    </w:p>
    <w:p>
      <w:r>
        <w:t>FR: VD_GERICHTE ZD22.044626 du 22 décembre 2023</w:t>
      </w:r>
    </w:p>
    <w:p>
      <w:r>
        <w:t>IT: VD_GERICHTE ZD22.044626 del 22 dicembre 2023</w:t>
      </w:r>
    </w:p>
    <w:p>
      <w:pPr>
        <w:pStyle w:val="Heading2"/>
      </w:pPr>
      <w:r>
        <w:t>Erwägungen</w:t>
      </w:r>
    </w:p>
    <w:p>
      <w:r>
        <w:rPr>
          <w:b/>
        </w:rPr>
        <w:t>E. 15</w:t>
      </w:r>
    </w:p>
    <w:p>
      <w:r>
        <w:t>septembre 2023 par sa fille, ainsi qu’une liste de questions complémentaires à poser à l’expert judiciaire.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- 8 -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l’assurance-invalidité, singulièrement sur le degré d’invalidité à la base de cette prestation. b)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consid. 4.3.1 ; 121 V 362 consid. 1b ; TF 8C_13/2022 du 29 septembre 2022 consid. 3.1.3). c) En l’espèce, le Dr D.________ a, dans son rapport d’expertise du 24 juillet 2023, notamment exposé que la recourante avait retrouvé une pleine capacité de travail dès le 1er mai 2023. Celle-ci, quant à elle, a allégué, dans son écriture du 25 septembre 2023, une amélioration – moins conséquente – de son état de santé à partir du 1er août 2023. Or ce point n’a pas à être tranché dans le cadre du présent litige, car cette amélioration potentielle intervient, quelle que soit la date retenue, après la décision litigieuse du 3 octobre 2022. 3. a) Dans le cadre du « développement continu de l'AI », la LAI, le RAI (règlement du 17 janvier 1961 sur l’assurance-invalidité ; RS 831.201) et la LPGA – notamment – ont été modifiés avec effet au 1er</w:t>
      </w:r>
    </w:p>
    <w:p>
      <w:r>
        <w:t>- 9 -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Dans la mesure où l’état de fait déterminant pour statuer sur le droit à la rente de la recourante est, pour l’essentiel, antérieur au 1er janvier 2022, il convient dès lors d’appliquer l’ancien droit, dans sa teneur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- 10 -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t>- 11 -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w:t>
      </w:r>
    </w:p>
    <w:p>
      <w:r>
        <w:t>- 12 -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Sur le plan somatique, la Dre R.________ a mis en évidence, dans le volet rhumatologique de l’expertise du 3 novembre 2021, les diagnostics de tendinopathie de la coiffe des rotateurs des deux épaules, de lombalgies hautes mécaniques, de syndrome douloureux chronique, d’obésité et de talalgies et gonalgies mécaniques. Elle a attesté une capacité de travail totale dans l’activité habituelle et dans une activité adaptée, à condition que cette activité n’exige pas de porter des charges lourdes de manière répétée ni de se tenir en position assise ou debout de façon prolongée. b) Aucun élément au dossier n’est susceptible de remettre en doute les conclusions de cette experte, auxquelles il convient d’accorder une pleine valeur probante. La suite de l’instruction devant l’intimé s’est d’ailleurs principalement concentrée sur les aspects d’ordre psychique et la recourante a fait valoir, dans ses observations du 15 juin 2022 et dans son recours du 4 novembre 2022, des griefs en lien avec sa santé psychique. Tout au plus reproche-t-elle a l’intimé de n’avoir pas suffisamment examiné les causes et les conséquences de son obésité sur la capacité de travail. Selon la jurisprudence, l’obésité ne peut être constitutive d'invalidité que si l'excédent de poids a provoqué une atteinte à la santé ou s'il est lui-même la conséquence d'un trouble de la santé et que, partant, la capacité de gain est sensiblement réduite et ne peut être augmentée de façon importante par des mesures raisonnablement exigibles (cf. TF 9C_49/2019 du 3 mai 2019 consid. 5.3). Or, contrairement à ce que soutient la recourante, la Dre R.________ s’est bel et bien prononcée sur les effets de la surcharge pondérale, puisqu’elle a précisé que les talalgies et gonalgies mécaniques se trouvaient probablement en</w:t>
      </w:r>
    </w:p>
    <w:p>
      <w:r>
        <w:t>- 13 - relation avec celle-ci, tout en estimant que ces atteintes – à l’instar des autres diagnostics susmentionnés – n’avaient aucun impact sur la capacité de travail. 7. a) Sur le plan psychique, les pièces versées au dossier et les points de vue divergents des experts et des psychiatres traitants n’ont pas permis à la Cour de céans de se prononcer sur la capacité de travail de la recourante, de sorte qu’il s’est justifié de mettre en œuvre une expertise judiciaire. En effet, dans le volet psychiatrique de l’expertise du 5 août 2019, le Dr P.________ a diagnostiqué un épisode dépressif sévère sans symptôme psychotique ; il a estimé que l’incapacité de travail était totale dans toute activité, la situation devant cependant être réévaluée dans un délai de trois mois, après la modification du traitement antidépresseur. Le Dr I.________, quant à lui, a mentionné, dans son rapport du 7 décembre 2020, les diagnostics d’épisode dépressif moyen à sévère et de modification durable de la personnalité, tout en attestant une capacité de travail nulle dans toute activité. La Dre E.________ a enfin retenu, dans son rapport du 18 février 2022, notamment les diagnostics d’épisode dépressif moyen à sévère et de modification durable de la personnalité après une maladie psychiatrique ; elle a déclaré que les différents traitements mis en place n’avaient pas permis d'obtenir une amélioration significative de l’état de santé psychique de la recourante. A l’inverse, dans le volet psychiatrique de l’expertise du 3 novembre 2021, le Dr B.________ a notamment posé les diagnostics de trouble anxieux et dépressif mixte et de syndrome douloureux somatoforme persistant ; il a certifié une capacité de travail nulle dans toute activité du 27 janvier 2018 au 30 novembre 2019 (soit trois mois après les recommandations thérapeutiques du Dr P.________) – précisant que la symptomatologie dépressive avait été moyenne à sévère durant cette période –, puis une capacité de travail pleine dès le 1er décembre 2019. Les conclusions de cette dernière expertise apparaissaient particulièrement peu convaincantes, dans la mesure où l’évaluation du Dr B.________ reposait sur une analyse plus théorique qu’objective de la situation et pouvait même confiner à l’absurde au regard de l’intensité de la symptomatologie dépressive initiale.</w:t>
      </w:r>
    </w:p>
    <w:p>
      <w:r>
        <w:t>- 14 - b) Il n’y a pas lieu de s’écarter des conclusions – convaincantes – de l’expertise judiciaire psychiatrique réalisée par le Dr D.________. Ce dernier s’est en effet arrêté sur les points litigieux de la cause, en particulier sur les raisons l’ayant conduit à exclure les diagnostics de modification durable de la personnalité et de trouble anxieux et dépressif mixte. Ainsi, pour ce premier diagnostic, il a expliqué que la recourante n’était pas cliniquement rétablie de son trouble dépressif ; or cet élément s’avérait indispensable à la pose d’un tel diagnostic. Pour le second, il a souligné que la symptomatologie anxieuse devait être mise en relation avec l’agoraphobie. Le Dr D.________ a, de surcroît, procédé à des examens complets : outre deux entretiens avec la recourante, il a effectué des tests psychologiques (échelle HAD [Hospital Anxiety and Depression scale] et échelle de dépression de Hamilton), des tests neuropsychologiques de débrouillage (mini mental test de Folstein et test de la montre) et des examens neuropsychologiques, qu’il a confiés à un neuropsychologue spécialisé. Il a tenu compte des plaintes exprimées par l’assurée sur les plans somatique et psychique, tout en ayant une pleine connaissance des pièces au dossier, dont les rapports d’expertise des 5 août 2019 et 3 novembre 2021 et les divers rapports des médecins- traitants. Pour finir, il a décrit et apprécié la situation médicale de manière claire et a bien motivé ses conclusions. A cet égard, le Dr D.________ a mené une discussion approfondie sur les diagnostics psychiatriques retenus, à savoir ceux d’épisode dépressif, sévère au départ et léger actuellement, d’agoraphobie sans trouble panique et de majoration de symptômes physiques pour des raisons psychologiques. Afin de les justifier, il a mis en évidence, pour le premier diagnostic, une tristesse anormale, une diminution de l’intérêt, du plaisir et de l’estime de soi, des troubles du sommeil et un léger ralentissement psychomoteur ; pour le deuxième diagnostic, une anxiété avec des manifestations neurovégétatives, lesquelles étaient fréquemment consignées dans les différents rapports au dossier ; et, pour le troisième diagnostic, une discordance entre les douleurs alléguées et leur socle organique. S’agissant de l’évaluation de la</w:t>
      </w:r>
    </w:p>
    <w:p>
      <w:r>
        <w:t>- 15 - capacité de travail, il a exposé que l’épisode dépressif était sévère au départ, si bien qu’il était fondé à le corréler à une incapacité de travail totale. Par la suite, la réponse au traitement avait été bonne et la symptomatologie avait diminué en sévérité. Selon le Dr D.________, le Dr I.________ l’avait qualifié pour la première fois de moyen à sévère (et non plus de sévère) dans son rapport du 7 décembre 2020, ce qui validait l’amélioration de l’état de santé de la recourante à cette date. L’amélioration « médico-théorique » rapportée par le Dr B.________ n’était en revanche pas documentée et n’apparaissait donc pas plausible. S’agissant des autres diagnostics, le trouble phobique s’était aujourd’hui amendé et la majoration des symptômes physiques pour des raisons psychologiques, laquelle relevait le plus souvent de facteurs personnels et socioculturels, n’était pas assimilable à une maladie au sens strict du terme et, partant, n’exerçait aucune influence sur la capacité de travail. c) Au regard des précédentes considérations, il sied de valider les conclusions du Dr D.________ et de retenir une capacité de travail nulle dans l’activité habituelle pour la période du 27 janvier 2018 au 30 novembre 2020, puis de 50 % dès le 1er décembre 2020. 8. a) Au vu du contenu de l’expertise judiciaire, il n’y a pas lieu de poser des questions complémentaires au Dr D.________, les précisions que ce dernier serait amené à formuler n’étant pas susceptibles de modifier ses conclusions. Il n’y a pas non plus lieu de suivre les raisonnements défendus par la recourante et par l’intimé concernant l’évolution de la capacité de travail, dans la mesure où ceux-ci ne reposent pas sur des éléments objectifs qui justifieraient d’écarter l’évaluation de cet expert. b) Aussi, dès lors qu’il est admis que la recourante peut exercer son activité habituelle d’aide-soignante, le taux d’invalidité se confond avec l’incapacité de travail telle qu’elle a été retenue. Il convient donc de lui reconnaître le droit à une rente entière d’invalidité du 1er mars 2019 (à savoir six mois suivant le dépôt de la demande de prestations [cf. art. 29 al. 1 LAI]) au 28 février 2021 (soit trois mois après l’amélioration de</w:t>
      </w:r>
    </w:p>
    <w:p>
      <w:r>
        <w:t>- 16 - son état de santé constatée par le Dr D.________ [cf. art. 88a RAI]), puis à une demi-rente à partir du 1er mars 2021. Compte tenu de l’objet du litige, il n’appartient pas à la Cour de céans d’examiner le droit à la rente pour la période postérieure à la décision litigieuse, respectivement la question d’une éventuelle amélioration de la capacité de travail qui serait survenue depuis lors (cf. supra consid. 2c). 9. a) En définitive, le recours doit être admis et la décision rendue le 3 octobre 2022 par l’intimé réformée en ce sens que la recourante a droit à une rente entière d’invalidité du 1er mars 2019 au 28 février 2021, puis à une demi-rente à partir du 1er mars 2021.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de l’arrêter à 2'500 fr., débours et TVA compris, et de la mettre intégralement à la charge de la partie intimée qui succombe (art. 10 et 11 du tarif du 28 avril 2015 des frais judiciaires et des dépens en matière administrative [TFJDA ; BLV 173.36.5.1]). d) Par décision du Juge instructeur du 24 mai 2023, la partie recourante a été mise au bénéfice de l’assistance judiciaire avec effet à cette date et a obtenu à ce titre la commission d’un avocat en la personne de Me David Métille. Il n’y a donc pas lieu, en l’état, de fixer plus précisément cette indemnité (art. 4 du règlement cantonal vaudois du 7 décembre 2010 sur l’assistance judiciaire en matière civile [RAJ ; BLV 211.02.3]). Par ces motifs,</w:t>
      </w:r>
    </w:p>
    <w:p>
      <w:r>
        <w:t>- 17 - la Cour des assurances sociales p r o n o n c e : I. Le recours est admis. II. La décision rendue le 3 octobre 2022 est réformée en ce sens que O.________ a droit à une rente entière d’invalidité du 1er mars 2019 au 28 février 2021, puis à une demi-rente à partir du 1er mars 2021. III. Les frais judiciaires, arrêtés à 600 fr. (six cents francs), sont mis à la charge de l’Office de l'assurance-invalidité pour le canton de Vaud. IV. L’Office de l’assurance-invalidité pour le canton de Vaud versera à O.________ une indemnité de 2'500 fr. (deux mille cinq cents francs) à titre de dépens. Le président : Le greffier : Du</w:t>
      </w:r>
    </w:p>
    <w:p>
      <w:r>
        <w:t>- 18 - L'arrêt qui précède, dont la rédaction a été approuvée à huis clos, est notifié à : - Me David Métille (pour O.________),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