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ZD22.044616 vom 12. Juni 2023</w:t>
      </w:r>
    </w:p>
    <w:p>
      <w:r>
        <w:t>VD Tribunal cantonal, 2023-06-12, FR</w:t>
      </w:r>
    </w:p>
    <w:p>
      <w:r>
        <w:rPr>
          <w:b/>
        </w:rPr>
        <w:t xml:space="preserve">Quelle: </w:t>
      </w:r>
      <w:r>
        <w:t>https://mcp.opencaselaw.ch/entscheid/vd_gerichte_ZD22.044616</w:t>
      </w:r>
    </w:p>
    <w:p>
      <w:r>
        <w:t>FR: VD_GERICHTE ZD22.044616 du 12 juin 2023</w:t>
      </w:r>
    </w:p>
    <w:p>
      <w:r>
        <w:t>IT: VD_GERICHTE ZD22.044616 del 12 giugno 2023</w:t>
      </w:r>
    </w:p>
    <w:p>
      <w:pPr>
        <w:pStyle w:val="Heading2"/>
      </w:pPr>
      <w:r>
        <w:t>Erwägungen</w:t>
      </w:r>
    </w:p>
    <w:p>
      <w:r>
        <w:rPr>
          <w:b/>
        </w:rPr>
        <w:t>E. 5</w:t>
      </w:r>
    </w:p>
    <w:p>
      <w:r>
        <w:t>Pour fixer le degré d’invalidité, l’administration – en cas de recours, le juge – se fonde sur des documents médicaux, ainsi que, le cas</w:t>
      </w:r>
    </w:p>
    <w:p>
      <w:r>
        <w:t>- 14 -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w:t>
      </w:r>
    </w:p>
    <w:p>
      <w:r>
        <w:t>- 15 -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w:t>
      </w:r>
    </w:p>
    <w:p>
      <w:r>
        <w:rPr>
          <w:b/>
        </w:rPr>
        <w:t>E. 6</w:t>
      </w:r>
    </w:p>
    <w:p>
      <w:r>
        <w:t>Le recourant conteste les conclusions de l’expertise du Centre C.________, lesquelles ont été reprises par le SMR et suivies par l’OAI dans la décision contestée, et soutient que l’instruction menée par l’OAI n’est pas complète. Il considère que ses problèmes neurologiques n’ont pas été suffisamment pris en considération par les experts et qu’un nouvel examen aurait dû être réalisé pour actualiser les résultats. Il ajoute que le diagnostic de dépendance aurait dû être retenu comme diagnostic incapacitant. Il conteste ainsi l’appréciation de sa capacité de travail faite par les experts, préférant celle de ses médecins traitants. a) Il apparait toutefois que l’expertise remplit tous les réquisits jurisprudentiels permettant de lui reconnaître une pleine valeur probante. En effet, les experts ont examiné avec soin le dossier de l’assuré. Ils ont détaillé ses plaintes spontanées et sur demande, et établi une anamnèse détaillée. Ils ont formulé des conclusions claires et motivées tant au terme de chacun de leurs rapports qu’au terme d’une évaluation consensuelle, se fondant sur les éléments du dossier et sur leur examen clinique. L’expert psychiatre a au demeurant analysé les ressources de l’assuré, donné son avis sur les thérapies et les traitements en cours – respectivement leur absence, suggéré un traitement à suivre et évalué la</w:t>
      </w:r>
    </w:p>
    <w:p>
      <w:r>
        <w:t>- 16 - cohérence et la plausibilité. Les experts ont ainsi retenu les diagnostics ayant un effet sur la capacité de travail d’ostéoporose sévère avec diminution de la densité osseuse, d’amyotrophie généralisée, de syndrome cérébelleux statique et dynamique probablement d'origine éthylique et de sarcopénie sévère associée à une dénutrition sévère. Sur le plan psychiatrique, l’expert A.________ a notamment retenu le diagnostic de troubles mentaux et troubles du comportement liés à l’utilisation d’alcool, utilisation continue (F10.25), sans effet sur la capacité. Il a exposé, de manière convaincante, que ce diagnostic ne remplissait pas les critères de gravité nécessaires à la reconnaissance d’un caractère incapacitant, en l’absence de trouble de la personnalité constaté à l’examen clinique ou de comorbidité psychiatrique. Il a en outre relevé qu’aucun suivi psychiatrique n’était en cours. Si l’assuré était certes dépendant à l’alcool depuis l’âge de 16 ans, avec actuellement une consommation quotidienne, il avait néanmoins pu travailler durant des dizaines d’années malgré cette dépendance, disposait d’une formation et de ressources internes. Il était également resté sobre sans complication durant son séjour d’un mois en milieu hospitalier en janvier 2020. L’expert psychiatre a observé que l’assuré avait tendance à minimiser les complications entrainées par sa consommation. L’intéressé n’était toutefois pas dans le déni complet et avait déclaré à l’expert qu’il n’était pas opposé à un traitement médicamenteux visant une baisse de sa consommation, sans aller jusqu’à un sevrage complet. L’assuré estimait contrôler sa consommation, précisant avoir réussi à la réduire à 2 litres de bière par jour. L’expert psychiatre a constaté à cet égard que l’assuré n’avait jamais bénéficié de cure de sevrage, de postcure, ni de traitement médicamenteux à visée addictologique. Dans ces circonstances, il ne pouvait conclure à une inefficacité des traitements. Des soins addictologiques étaient toutefois exigibles, afin d’éviter que la dépendance ne devienne incapacitante à son tour, à savoir un sevrage complet en milieu hospitalier et un suivi addictologique rapproché (l’assuré ne consultant son addictologue que tous les 1 à 2 mois). L’expert psychiatre a encore fait état des conclusions du rapport d’examen neuropsychologique du 4 juin 2020, à savoir la présence d’un trouble</w:t>
      </w:r>
    </w:p>
    <w:p>
      <w:r>
        <w:t>- 17 - neuropsychologique léger à moyen avec une capacité fonctionnellement moyennement limitée dans le travail ou lors des tâches requérant un niveau d’exigences élevé. Se référant au rapport de la Dre O.________ du 21 décembre 2020 dans lequel elle rapportait ce trouble, l’expert psychiatre a indiqué partager le constat de sa consœur, sans retenir que le syndrome de dépendance à l’alcool pouvait être la cause de l’incapacité de travail attestée par la Dre O.________, en l’absence des critères de gravité. L’expert psychiatre a du reste relevé que la Dre O.________ associait l’incapacité de travail aux diagnostics somatiques. Quoi qu’en dise l’assuré, l’expert a tenu compte de ces troubles légers lorsqu’il a analysé ses limitations fonctionnelles, précisant qu’ils étaient réversibles en cas de sevrage et ajoutant qu’aucune limitation strictement psychiatrique n’était retenue pour le surplus. Lors de son examen clinique, l’expert psychiatre a au demeurant constaté que l’assuré ne présentait pas de trouble de l’équilibre, ni trouble de la concentration, ni dysarthrie, ni ralentissement psychomoteur. Les réponses apportées par l’assuré étaient claires, cohérentes et adaptées. Son attention et sa concentration étaient restées stables et de bonne qualité. Fort de ces observations, l’expert psychiatre pouvait se référer aux conclusions de l’examen neuropsychologique, sans réitérer d’examen. La durée de l’examen réalisé par l’expert ne saurait remettre en cause le bienfondé de ses observations, le rôle de l’expert consistant à apporter un regard neutre sur le cas particulier (TF 9C_844/2009 du 29 mars 2010 consid. 4.3). L’expert A.________ s’est enfin livré à une analyse structurée au moyen des indicateurs requis par la jurisprudence. Il a ainsi pris en compte les ressources de l’assuré, lequel a une journée structurée, tient seul son ménage et entretient des contacts sociaux. Si le recourant, en procédure, relève que ces contacts sont essentiellement centrés autour de l’alcool, il y a lieu de relever qu’il est également entouré par sa famille, à savoir son père et son frère. L’expert psychiatre a également analysé diverses ressources, notamment la capacité à s’affirmer, à évoluer au sein d’un groupe, à se déplacer, en se référant à la mini-CIF. Sous l’angle de la cohérence, l’expert a constaté qu’il n’y avait pas de divergences entre les symptômes décrits et le comportement de l’assuré.</w:t>
      </w:r>
    </w:p>
    <w:p>
      <w:r>
        <w:t>- 18 - Quant aux volets somatiques de médecine interne et de rhumatologie, les experts S.________ et V.________ ont retenu les diagnostics incapacitants de syndrome cérébelleux statique et dynamique probablement d’origine éthylique, de sarcopénie sévère associée à une dénutrition sévère, d’ostéoporose sévère avec diminution de la densité osseuse et d’amyotrophie généralisée. Les experts ont posé ces diagnostics incapacitants après une analyse fouillée et détaillée des pièces au dossier, se fondant également sur les plaintes de l’assuré et sur leurs constatations cliniques, après avoir écartés les avis des médecins traitants. Ce faisant, leur rapport peut se voir conférer une pleine valeur probante. Les experts ont d’ailleurs dûment pris en compte les difficultés de l’assuré, à savoir la dénutrition dont il souffre, retenant qu’un renforcement de la prise de protéine médicale était indiqué, mais non suivi. Leurs constatations rejoignent ainsi celles des médecins de l’Hôpital de [...] (cf. lettre de sortie du 30 janvier 2020). Or, ce traitement pour la dénutrition permettrait d’augmenter la résistance physique de l’assuré, et par conséquent son profil d’effort. Ils ont également pris en compte les troubles de la marche présentés par l’assuré, considérant qu’ils étaient d’origine éthylique, probablement liés à un syndrome cérébelleux, et non dus aux fractures et à l’ostéoporose comme le retenait la Dre O.________. En outre, si l’experte V.________ a relevé la présence d’un syndrome obstructif modéré lors de son examen thoraco-pulmonaire, il a surtout constaté l’absence de foyer pulmonaire à l’examen, de sorte qu’il ne se justifiait pas de réaliser un examen complémentaire à cet égard, comme le soutient le recourant, ce d’autant que l’expert n’a retenu aucun diagnostic ni limitation fonctionnelle en lien avec ce syndrome. b) Les rapports des médecins traitants ne mettent pas en cause les conclusions, probantes, des experts. En effet, ceux-ci ne se livrent pas à un examen complet du dossier ; ils ne tiennent notamment pas compte des ressources du recourant ni même du sevrage – exigible – mais refusé par ce dernier. En particulier, la Dre O.________ n’invoque aucun élément nouveau dans son rapport du 2 septembre 2021. Elle précise au demeurant qu’elle n’a pas revu l’assuré en consultation depuis le mois d’avril 2021, de sorte que son appréciation n’est plus actuelle. Elle</w:t>
      </w:r>
    </w:p>
    <w:p>
      <w:r>
        <w:t>- 19 - retient au demeurant un diagnostic psychiatrique – qu’elle n’objective pas – alors qu’elle ne dispose pas de spécialisation dans ce domaine. Son appréciation ne peut donc être suivie. Quant au rapport du 31 août 2022 du Dr M.________, il n’apporte aucun élément médical étayé permettant de remettre en question les conclusions des experts. En procédure, le recourant a produit une évaluation psychiatrique du 9 janvier 2023 de la Dre K.________, laquelle retient les diagnostics de trouble dépressif récurrent, épisode actuel léger, syndrome de dépendance à l’alcool avec utilisation continue au stade de complication neurocognitive et trouble de la personnalité d’allure mixte avec traits narcissique et paranoïaque. On observe d’abord que la Dre K.________ ne dispose pas de la spécialisation en psychiatrie et psychothérapie, alors qu’elle explique assurer le suivi de l’intéressé depuis 2022. Au demeurant, aucune mention n’est faite d’un tel suivi par l’assuré aux experts ou par les autres médecins traitants, ce qui laisse supposer que le suivi est récent. La Dre K.________ ajoute que l’assuré a bénéficié d’un premier accompagnement psychiatrique en 2018 auprès de l’équipe mobile de psychiatrie du Centre hospitalier X.________, plus particulièrement auprès de F.________, case manager. Or, cette dernière précise elle-même qu’elle n’est pas psychologue et que son aide consistait à accompagner l’assuré à ses rendez-vous médicaux (cf. courriel du 27 février 2023 produit par le recourant en réplique). Il ne s’agit en conséquence pas d’un réel suivi psychiatrique ou psychologique. Quoi qu’il en soit, il apparait que le diagnostic de trouble dépressif ne survient que dans des contextes particuliers et passagers, à savoir des ruptures sentimentales ou des difficultés professionnelles. Ce trouble ne saurait donc être considéré comme occasionnant une incapacité durable de travail, sa gravité apparaissant d’ailleurs très légère en dehors des contextes susmentionnés. Il n’est en outre pas rendu vraisemblable, n’ayant jamais été évoqué par les médecins avant cela, ni constaté par l’expert psychiatre. S’agissant du diagnostic de trouble de la personnalité, celui-ci est toujours en cours d’analyse, de sorte qu’il ne saurait être retenu. On observera à toutes fins utiles que la Dre K.________ évoque à ce stade des traits de personnalité, lesquels n’ont en principe pas de valeur de maladie psychiatrique (cf. par ex. TF 9C_558/2020 du 7 septembre 2021 consid. 5.4 ; 9C_756/2018 du 17 avril 2019 consid. 5.2.2). Il apparait</w:t>
      </w:r>
    </w:p>
    <w:p>
      <w:r>
        <w:t>- 20 - ainsi que ces pathologies ne sont pas objectivées. S’agissant du syndrome de dépendance à l’alcool, l’appréciation de la Dre K.________ est incomplète. D’une part, elle ne suit pas la procédure structurée au moyen des indicateurs, au contraire du volet psychiatrique de l’expertise. D’autre part, la Dre K.________ n’évoque pas la question du sevrage, lequel a pourtant été considéré comme exigible par l’expert psychiatre. Elle n’a pas non plus introduit de traitement ou de médication à ce stade, alors même qu’elle parle de maladie chronique présente depuis plusieurs années et ayant une influence sur les fonctions neurologiques de l’assuré. Même son appréciation de la capacité de travail de 20 % n’est pas étayée, et ne saurait donc être suivie. Enfin, le recourant reproche aux experts, respectivement au SMR, de ne pas avoir réalisé un nouvel examen neurologique une année après l’examen neuropsychologique du 4 juin 2020. On rappellera que l’expert psychiatre a dûment pris en compte les conclusions de la psychologue et que le volet de médecine interne générale de l’expertise comporte également un examen neurologique. Il apparait ainsi que l’état neurologique a été analysé de manière suffisante. Au demeurant, le recourant n’atteste pas, au moyen d’un rapport médical étayé, que ses fonctions neurologiques seraient définitivement atteintes. c) L’OAI était par conséquent légitimé à se fonder sur les conclusions de l’expertise et retenir que l’assuré n’est plus capable de travailler dans son activité habituelle d’aide menuisier depuis août 2016 mais dispose d’une pleine capacité de travail dans toutes activités adaptées, depuis toujours, en dehors d’une période de six mois lors des fractures pertrochantériennes de 2016 et 2019 et d’une période de trois mois lors de la fracture de l’humérus de 2019. Ils ont retenu les limitations fonctionnelles suivantes : déficit neuropsychologique léger à moyen et réversible en cas de sevrage, port de charges supérieures à 5 kg près du corps, pas d’activité demandant une sécurité augmentée sur des échelles ou des échafaudages, activité essentiellement assise et sédentaire, pas de conduite.</w:t>
      </w:r>
    </w:p>
    <w:p>
      <w:r>
        <w:rPr>
          <w:b/>
        </w:rPr>
        <w:t>E. 7</w:t>
      </w:r>
    </w:p>
    <w:p>
      <w:r>
        <w:t>a) Lorsque le revenu sans invalidité ne peut pas être déterminé en fonction de l’activité lucrative habituelle exercée avant</w:t>
      </w:r>
    </w:p>
    <w:p>
      <w:r>
        <w:t>- 21 -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b)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w:t>
      </w:r>
    </w:p>
    <w:p>
      <w:r>
        <w:t>- 22 - compte (ATF 146 V 16 consid. 4.1 ; 126 V 75). Lorsque le revenu sans invalidité et le revenu avec invalidité sont tous deux établis au moyen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 personne assurée et qui restreignent ses perspectives salariales par rapport à celles ressortant des données statistiques (dans ce sens : ATF 135 V 297 ; 135 V 58 ; 134 V 322 consid. 4 et 5.2). d)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La référence à un marché du travail équilibré ne permet pas de prendre en considération une capacité de gain lorsque les activités envisagées ne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(TF 8C_772/2020 du 9 juillet 2021 consid. 3.3 ; TF 9C_659/2014 du 13 mars 2015 consid. 5.3.2 ; TF 9C_941/2012 du 20 mars 2013 consid. 4.1.2 ; Margit Moser-Szeless, in Dupont/Moser-Szeless [édit.], Loi sur la partie générale des assurances sociales, Commentaire romand, Bâle 2018, n° 24 ad art. 7).</w:t>
      </w:r>
    </w:p>
    <w:p>
      <w:r>
        <w:t>- 23 -</w:t>
      </w:r>
    </w:p>
    <w:p>
      <w:r>
        <w:rPr>
          <w:b/>
        </w:rPr>
        <w:t>E. 8</w:t>
      </w:r>
    </w:p>
    <w:p>
      <w:r>
        <w:t>Le recourant ne conteste pas le recours aux données statistiques issues de l’ESS pour la fixation du revenu avec et sans invalidité. Il conteste en revanche l’abattement de 10 % sur le revenu avec invalidité, celui-ci devant selon lui s’élever à 25 % pour tenir compte de ses conséquentes limitations fonctionnelles, de ses douleurs, de son âge et de son éloignement du marché du travail. Il soutient également qu’aucun employeur ne serait intéressé par son profil. Comme exposé à juste titre par le spécialiste en réinsertion professionnelle de l’OAI dans le calcul du salaire exigible du 27 janvier 2022, les critères de l’âge, des années de service, de nationalité ou de permis de séjour devraient être retenus tant pour le calcul du revenu avec invalidité que pour celui du revenu sans invalidité, dès lors que tous deux sont fondés sur les mêmes valeurs de l’ESS. Cela aurait comme effet un préjudice nul. L’OAI a tout de même appliqué un abattement de 10 % pour les limitations fonctionnelles. Cet abattement parait tenir suffisamment compte des limitations fonctionnelles de l’assuré qui affectent la position de travail, essentiellement assise et pas en hauteur, ainsi que le port de charges, limité à 5 kg. Au demeurant, l’OAI s’est référé au niveau 1 de compétences de l’ESS, soit des activités simples et répétitives qui ne nécessitent ni formation, ni expérience professionnelle. Le salaire statistique appliqué dans le cas présent est ainsi suffisamment représentatif de ce que l’assuré serait en mesure de réaliser en tant qu'invalide dès lors qu'il recouvre un large éventail d'activités compatibles avec des limitations fonctionnelles peu contraignantes (pour les limitations physiques) et réversibles (pour les limitations neurologiques). On rappellera que les activités listées par l’OAI dans son évaluation du revenu exigible ne sont que des exemples parmi ce large choix d’activités. En outre, la notion de marché du travail équilibré est un concept théorique et abstrait, de sorte que les difficultés alléguées par le recourant quant à son engagement par un employeur ne sont pas relevantes. Les griefs du recourant doivent par conséquent être rejetés et le degré d’invalidité, tel que calculé par l’OAI dans la décision entreprise, confirmé.</w:t>
      </w:r>
    </w:p>
    <w:p>
      <w:r>
        <w:t>- 24 -</w:t>
      </w:r>
    </w:p>
    <w:p>
      <w:r>
        <w:rPr>
          <w:b/>
        </w:rPr>
        <w:t>E. 9</w:t>
      </w:r>
    </w:p>
    <w:p>
      <w:r>
        <w:t>Le recourant réclame l’octroi de mesures de réinsertion professionnelle, sans plus amples précisions. a)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En l’occurrence, que ce soit en application de l’ancien droit en vigueur jusqu’au 31 décembre 2021 ou du nouveau droit en vigueur depuis lors, les conditions d'octroi des mesures d’ordre professionnel sont inchangées. b) Selon l’art. 8 al. 1 LAI, dont la teneur est restée inchangée dans sa version au 1er janvier 2022,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(jusqu’au 31 décembre 2021 : orientation professionnelle, formation professionnelle initiale, reclassement, placement et aide en capital ; ainsi que depuis le 1er janvier 2022 : placement à l’essai, location de service, allocation d’initiation au travail, indemnité en cas d’augmentation des cotisations). Pour déterminer si une mesure est de nature à maintenir ou à améliorer la capacité de gain d’un assuré, il convient d’effectuer un pronostic sur les chances de succès des mesures demandées (ATF 132 V 215 consid. 3.2.2 et réf. cit.), celles-ci ne devant pas être allouées si elles sont vouées à l’échec selon toute vraisemblance (TF I 388/06 du 25 avril 2007 consid. 7.2 ; TFA I 660/02 du 2 décembre 2002 consid. 2.1). Le droit à une mesure de réadaptation déterminée suppose en effet qu’elle soit</w:t>
      </w:r>
    </w:p>
    <w:p>
      <w:r>
        <w:t>- 25 - appropriée au but de la réadaptation poursuivi par l’AI, tant objectivement en ce qui concerne la mesure que sur le plan subjectif en ce qui concerne la personne de l’assuré (TF 9C_609/2009 15 avril 2010 consid. 9.2 et la référence citée). Partant, si l’aptitude subjective de réadaptation de l’assuré fait défaut, l’administration peut refuser de mettre en œuvre une mesure ou y mettre fin (TF I 552/06 du 13 juin 2007 consid. 3.1 ; TFA I 370/98 du 26 août 1999 publié in : VSI 3/2002 p. 111 consid. 2 et réf. cit.). c) En l’occurrence, l’OAI a nié au recourant le droit à des mesures de reclassement, prévues à l’art. 17 LAI, au motif que son degré d’invalidité n’atteignait pas le seuil de 20 % (ATF 139 V 399 consid. 5.3), ce qui peut être confirmé. Une aide au placement a été proposée au recourant qui l’a refusée, s’estimant incapable de travailler (cf. courrier du 28 février 2022). Le recourant peut toutefois solliciter la reprise de cette mesure, s’il le souhaite.</w:t>
      </w:r>
    </w:p>
    <w:p>
      <w:r>
        <w:rPr>
          <w:b/>
        </w:rPr>
        <w:t>E. 10</w:t>
      </w:r>
    </w:p>
    <w:p>
      <w:r>
        <w:t>a) Vu ce qui précède, le recours doit être rejeté et la décision entreprise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Toutefois, dès lors qu’il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Il n’y a pas lieu d’allouer de dépens à la partie recourante, qui n’obtient pas gain de cause (art. 61 let. g LPGA).</w:t>
      </w:r>
    </w:p>
    <w:p>
      <w:r>
        <w:t>- 26 - c)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(cf. art. 2 al. 1 RAJ [règlement cantonal vaudois du 7 décembre 2010 sur l’assistance judiciaire en matière civile ; BLV 211.02.3]). En l’espèce, selon la liste des opérations communiquée le</w:t>
      </w:r>
    </w:p>
    <w:p>
      <w:r>
        <w:rPr>
          <w:b/>
        </w:rPr>
        <w:t>E. 13</w:t>
      </w:r>
    </w:p>
    <w:p>
      <w:r>
        <w:t>mars 2023, Me Ventura a chiffré à 12 heures et 32 minutes le temps consacré au dossier du recourant, à savoir 1 heure et 12 minutes par ses soins et 11 heures et 20 minutes par Me Gaëlle Esteves. C’est ici le lieu de relever qu’entre l’avocat d’office auquel il est donné un mandat d’assistance judiciaire, d’une part, et la collectivité publique qui lui confie ce mandat, d’autre part, il existe un rapport juridique soumis au droit public, lequel régit notamment l’obligation d’accepter le mandat, les motifs de libération du mandat ainsi que la rétribution due pour l’activité exercée (ATF 143 III 10 consid. 3.1 et les références citées). Si l’avocat inscrit au tableau cantonal peut certes déléguer à l’avocat-stagiaire les tâches impliquant la rédaction de mémoire et d’actes de procédure, ainsi que la représentation des parties en justice pour autant qu’il en assume la supervision, la direction et la responsabilité (art. 28 ss LPav [loi vaudoise du 9 juin 2015 sur la profession d’avocats ; BLV 177.11]), n’est en revanche pas arbitraire la décision du juge de réduire la note d’honoraires présentée par un mandataire désigné d’office pour la procédure cantonale de la part d’honoraires correspondant à l’activité déployée par un collègue de la même étude d’avocats au bénéfice d’un pouvoir de substitution en vertu d’une convention interne à l’étude alors qu’aucune autorisation judiciaire pour cette substitution n’avait été demandée et obtenue (ATF 141 I 70 consid. 6). Dans le cas particulier, Me Esteves n’a pas été autorisée à procéder au titre de l’assistance judiciaire – respectivement, à se substituer à Me Ventura – dans le cadre de la présente affaire. Partant, l’activité qu’elle a déployée ne devrait pas être indemnisée conformément à la jurisprudence précitée. Il convient exceptionnellement de la prendre en considération. Il est en conséquence signifié qu’en l’absence</w:t>
      </w:r>
    </w:p>
    <w:p>
      <w:r>
        <w:t>- 27 - d’autorisation judiciaire préalable, les opérations déléguées par le conseil d’office à un autre avocat titulaire d’un brevet, qu’il soit collaborateur, associé ou simple confrère, ne seront plus indemnisées, sous réserve de circonstances particulières. Pour le surplus, les opérations étant justifiées, l’indemnité de Me Ventura est arrêtée à 2'551 fr. 20, TVA par 182 fr. 40 et débours à 5 % par 112 fr. 80 compris. La rémunération de l’avocat d’office est provisoirement supportée par le canton (art. 122 al. 1 let. a CPC, applicable par renvoi de l’art. 18 al. 5 LPA-VD). Le recourant est rendu attentif au fait qu’il est tenu de rembourser le montant des frais de justice et de l’indemnité d’office dès qu’il sera en mesure de le faire (art. 123 al. 1 CPC, applicable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