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ZD22.041868 vom 4. September 2023</w:t>
      </w:r>
    </w:p>
    <w:p>
      <w:r>
        <w:t>VD Tribunal cantonal, 2023-09-04, FR</w:t>
      </w:r>
    </w:p>
    <w:p>
      <w:r>
        <w:rPr>
          <w:b/>
        </w:rPr>
        <w:t xml:space="preserve">Quelle: </w:t>
      </w:r>
      <w:r>
        <w:t>https://mcp.opencaselaw.ch/entscheid/vd_gerichte_ZD22.041868</w:t>
      </w:r>
    </w:p>
    <w:p>
      <w:r>
        <w:t>FR: VD_GERICHTE ZD22.041868 du 4 septembre 2023</w:t>
      </w:r>
    </w:p>
    <w:p>
      <w:r>
        <w:t>IT: VD_GERICHTE ZD22.041868 del 4 settembre 2023</w:t>
      </w:r>
    </w:p>
    <w:p>
      <w:pPr>
        <w:pStyle w:val="Heading2"/>
      </w:pPr>
      <w:r>
        <w:t>Volltext</w:t>
      </w:r>
    </w:p>
    <w:p>
      <w:r>
        <w:t>TRIBUNAL CANTONAL AI 274/22 - 235/2023 ZD22.041868 CO UR DE S ASSURANCES S OCIALES _____________________________________________ Arrêt du 4 septembre 2023 _______________________ Composition : M. PIGUET, président Mmes Berberat et Durussel, juges Greffier : M. Addor ***** Cause pendante entre : K.________, à B.________, recourant, représenté par Me Gilles-Antoine Hofstetter, avocat à Lausanne, et OFFICE DE L’ASSURANCE-INVALIDITE POUR LE CANTON DE VAUD, à Vevey, intimé. _______________ Art. 9 et 17 al. 2 LPGA ; 42 LAI ; 37 al. 2 et 88bis al. 2 let. a RAI 402</w:t>
      </w:r>
    </w:p>
    <w:p>
      <w:r>
        <w:t>- 2 - E n f a i t : A. a) Souffrant d’un trouble sévère du développement du spectre autistique, K.________ (ci-après : l’assuré ou le recourant), né le [...] 2004, a été annoncé à l’assurance-invalidité le 25 février 2008. Par décision du 8 juin 2009, il s’est vu octroyer, à compter du 1er février 2008, des mesures médicales (traitement médical, séances d’ergothérapie), une allocation d’impotence pour mineurs de degré moyen compte tenu d’un besoin d’aide pour accomplir deux actes ordinaires de la vie (manger et aller aux toilettes) et un supplément pour soins intenses (d’abord à raison de 4 heures par jour du 1er février au 31 août 2008 puis à raison de 6 heures par jour à compter du 1er septembre 2008). Au terme d’une procédure de révision d’office engagée le 6 août 2010, l’office AI a, par décision du 20 juin 2011, reconnu, à compter du 1er août 2010, le droit de l’assuré à une allocation d’impotence pour mineurs de degré grave compte tenu d’un besoin d’aide pour accomplir tous les actes ordinaires de la vie et à un supplément pour soins intenses de plus de 8 heures par jour. Le 2 mai 2016, l’office AI a initié une nouvelle procédure de révision, à l’issue de laquelle il a retenu que le droit de l’assuré à une allocation d’impotence pour mineurs de degré grave demeurait inchangé (communication du 10 février 2017). b) Le 26 août 2019, les parents de l’assuré ont complété un questionnaire relatif à la révision de l’allocation pour impotent, indiquant un besoin d’aide pour tous les actes ordinaires de la vie à l’exception de l’acte « manger », ainsi qu’un besoin de soins médicaux en raison de problèmes dermatologiques et la nécessité d’une surveillance personnelle de jour et de nuit. Dans un rapport du 4 novembre 2019 établi par l’Ecole U.________, établissement au sein duquel l’assuré était scolarisé, il était relevé que celui-ci mangeait par lui-même mais qu’il avait besoin d’aide</w:t>
      </w:r>
    </w:p>
    <w:p>
      <w:r>
        <w:t>- 3 - pour gérer ses portions et pour rythmer ses repas car il se nourrissait trop rapidement et en trop grandes quantités. L’office AI a fait réaliser une enquête à domicile. Dans son rapport du 6 avril 2021, l’enquêtrice a retenu un besoin d’aide pour se vêtir/se dévêtir, se lever/s’asseoir/se coucher, faire sa toilette, aller aux toilettes et se déplacer. S’agissant de l’acte « manger », elle a observé que l’aide n’était plus mentionnée dans le questionnaire de révision. Selon ses constatations, l’assuré était en mesure d’utiliser un couteau car il savait découper les aliments, quand bien même il l’utilisait à sa façon et refusait d’être corrigé quant à la manière de le tenir. Elle a également retenu l’existence d’un supplément pour soins intenses de 7 heures et 49 minutes par jour, correspondant à 3 heures et 49 minutes pour les actes ordinaires de la vie quotidienne et à 4 heures pour la surveillance personnelle. Par projet de décision du 26 avril 2021, l’office AI a informé l’assuré qu’il entendait désormais lui reconnaître, avec effet à la fin du mois qui suit la notification de la décision, le droit à une allocation d’impotence pour mineurs de degré moyen, au motif que, depuis sa dernière évaluation, il était devenu autonome pour l’acte « manger », et le droit à un supplément pour soins intenses de 6 heures par jour. Le 15 mai 2021, les parents de l’assuré ont exprimé leur incompréhension à la lecture de ce projet de décision. D’après eux, leur fils n’avait aucunement progressé dans ses apprentissages car bien qu’il sache utiliser un couteau, il ne mangeait pas proprement. En effet, ils devaient le servir, lui nettoyer la bouche plusieurs fois pendant le repas et nettoyer sa place à table. Il n’était ainsi nullement autonome par rapport à un enfant valide du même âge. De plus, ils ont expliqué que les soins corporels revêtaient un caractère astreignant en raison de diverses pathologies présentées par leur fils (rhume des foins, conjonctivite, eczéma, risques de coupure en se rasant), auxquels s’ajoutait une surveillance permanente pour pallier le risque de fugue. Des</w:t>
      </w:r>
    </w:p>
    <w:p>
      <w:r>
        <w:t>- 4 - renseignements complémentaires seraient fournis par la Dre J.________, spécialiste en pédiatrie et en gastroentérologie pédiatrique. Dans un courrier du 15 mai 2021 à l’office AI, cette médecin a indiqué que l’assuré présentait, outre un retard mental, des problèmes dermatologiques ainsi que des troubles du sommeil et du comportement. Sur le plan alimentaire, elle a souligné qu’il devait « être accompagné pendant les repas pour être aidé, secondé, dirigé, nettoyé, et enfin stoppé lorsque la quantité est suffisante ». Il nécessitait en outre une présence constante afin de vérifier qu’il n’était pas en train de manger sans limite en vidant le réfrigérateur puis en cassant la porte de ce dernier, de rage de ne plus y trouver de quoi s’alimenter. Au vu des éléments signalés, elle a demandé un réexamen du dossier. Dans un rapport du 28 juin 2021, W.________ et G.________, respectivement enseignante et éducatrice au sein de l’Ecole U.________, ont signalé, s’agissant des repas, que l’assuré suivait un régime strict en raison de son surpoids. Il pouvait se servir seul lorsqu’il était en présence d’un éducateur ; dans le cas contraire, il pourrait passer son temps à consommer de la nourriture malsaine. Malgré ses difficultés à gérer les quantités de nourriture, l’assuré était autonome pour manger : il savait couper les aliments, utiliser un couteau et une fourchette et se servir à boire même s’il pouvait parfois salir ses vêtements. S’il gérait correctement son temps de repas, il avait toujours besoin du regard d’un adulte pour débarrasser ses couverts ou prendre un dessert. Par décision du 15 septembre 2022, l’office AI a entériné son projet de décision du 26 avril 2021. Il était précisé qu’il s’agissait de la dernière révision d’office du droit à l’allocation pour mineur impotent avant l’âge de 18 ans et que, dès cet âge, une révision d’office serait effectuée par le service d’allocation pour impotent adulte. B. a) Par acte du 17 octobre 2022, K.________, agissant par l’intermédiaire de ses parents, eux-mêmes représentés par Me Gilles- Antoine Hofstetter, avocat, a recouru devant la Cour des assurances</w:t>
      </w:r>
    </w:p>
    <w:p>
      <w:r>
        <w:t>- 5 - sociales du Tribunal cantonal du canton de Vaud contre la décision du 15 septembre 2022 en concluant, sous suite de frais et dépens, principalement, à l’octroi d’une allocation pour impotent de degré grave ainsi qu’à un supplément pour soins intenses d’au moins 8 heures par jour et, subsidiairement, au renvoi de la cause à l’office AI pour complément d’instruction. Tout d’abord, l’assuré a fait valoir qu’il n’était pas autonome pour l’acte « manger ». En effet, il devait impérativement être accompagné pendant les repas en étant constamment aidé, secondé, dirigé, nettoyé et stoppé lorsque la quantité de nourriture ingérée était suffisante. A cet égard, l’évaluation de l’Ecole U.________ ne reflétait pas l’ampleur des empêchements, ce d’autant que le suivi au sein de cet établissement n’était pas assez soutenu. En effet, les nombreux changements de personnel avaient fait obstacle à un constat objectif et conforme à la réalité du niveau d’impotence. Ensuite, l’assuré a souligné que, atteint d’un autisme sévère, son état nécessitait des soins constants et une surveillance personnelle permanente. A ce propos, il s’est prévalu d’une attestation établie le 13 octobre 2022 par la Dre D.________, spécialiste en psychiatre et psychothérapie d’enfants et d’adolescents, selon laquelle l’impotence devait être qualifiée de grave en raison de ses multiples difficultés. Il avait ainsi besoin de soins corporels astreignants car il souffrait de rhume des foins six mois par année, de conjonctivites et d’eczéma atopique, affection qui nécessitait l’application d’une crème sur toute la surface du corps. En outre, il urinait régulièrement dans son lit et se réveillait régulièrement la nuit afin de se rendre dans la chambre de ses frères pour les importuner. A cela s’ajoutait qu’il avait présenté plusieurs lésions (clavicules, poignets, mains, pieds) alors même qu’il était censé se trouver sous la surveillance des éducateurs de l’Ecole U.________. De plus, il pouvait parfois se montrer violent et brutal puisqu’il avait cassé plusieurs objets lorsqu’il s’était retrouvé sans surveillance au sein de cet établissement. Au vu de ces éléments, l’assuré estimait que le surcroît de soins était supérieur à 8 heures par jour.</w:t>
      </w:r>
    </w:p>
    <w:p>
      <w:r>
        <w:t>- 6 - Finalement, l’assuré s’en est pris aux constats opérés par l’enquêtrice dans son rapport du 6 avril 2021 en lui reprochant d’avoir sous-évalué le besoin d’aide pour nouer des contacts sociaux ainsi que l’étendue des soins et la durée de la surveillance. A titre de mesure d’instruction, l’assuré a sollicité la mise en œuvre d’une expertise si la Cour de céans devait avoir des doutes quant à l’existence d’empêchements justifiant une impotence grave. b) Dans sa réponse du 28 novembre 2022, l’office AI a conclu au rejet du recours, déclarant se référer à la décision litigieuse s’agissant de la non prise en charge de l’acte « manger » et de la diminution du supplément pour soins intenses. Il a par ailleurs répondu aux critiques formulées à l’encontre du rapport d’évaluation du 6 avril 2021. Ainsi, le besoin d’aide pour les contacts sociaux auquel se référait l’assuré concernait des cas particuliers d’assurés présentant une impotence faible en raison d’une grave atteinte des organes sensoriels ou d’une grave infirmité corporelle, ce qui n’était pas le cas de l’assuré. Si l’application d’une crème pour l’eczéma pourrait éventuellement conduire à retenir des soins astreignants, il apparaissait toutefois que le rapport d’évaluation du 28 juin 2021 n’avait pas démontré la nécessité de ce soin. Quant au supplément pour soins intenses, respectivement au besoin d’une surveillance personnelle, l’enquêtrice avait retenu une surveillance maximale. L’office AI a encore précisé que, dans la mesure où l’assuré avait atteint la majorité le [...] 2022, les prestations avaient été versées conformément à la décision du 20 juin 2011 et à la communication du 10 février 2017, si bien que la décision du 15 septembre 2022 était dépourvue de conséquence. c) Par réplique du 31 mars 2023, l’assuré a répété qu’il devait impérativement être assisté pendant les repas et que le besoin d’assistance ne se limitait pas à s’assurer qu’il puisse s’alimenter proprement. Il a ensuite une nouvelle fois souligné que le supplément pour soins intenses avait été sous-évalué.</w:t>
      </w:r>
    </w:p>
    <w:p>
      <w:r>
        <w:t>- 7 - d) Dupliquant le 18 avril 2023, l’office AI a précisé que la décision attaquée s’inscrivait, en ce qui concerne la question du supplément pour soins intenses, dans le cadre d’une procédure de révision d’office engagée en août 2019 et que, compte tenu de la durée de l’instruction, elle avait été rendue tardivement d’où l’absence de conséquence qui lui était attachée. Il a déclaré confirmer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w:t>
      </w:r>
    </w:p>
    <w:p>
      <w:r>
        <w:t>- 8 - par la décision litigieuse, sont en principe irrecevables (ATF 144 II 359 consid. 4.3; 142 I 155 consid. 4.4.2 ; 134 V 418 consid. 5.2.1). b) Le litige a pour objet le droit du recourant à une allocation pour impotent de l’assurance-invalidité, singulièrement la question de savoir si la situation du recourant s’est modifiée – de manière à influencer son droit à l’allocation – entre le 10 février 2017, date de la communication – entrée en force – confirmant le droit du recourant à une allocation pour impotent de degré grave, et le 15 septembre 2022, date de la décision litigieuse réduisant l’allocation pour impotent. c) La présente procédure n’est pas le lieu pour examiner la problématique du droit au supplément pour soins intenses, le recours étant à ce sujet sans objet. Dès lors que le recourant a atteint la majorité le [...] 2022, soit antérieurement à la date de la décision litigieuse, et que le versement de cette prestation a pris fin ex lege à cette date (ATF 137 V 424 consid. 3.3.3.1), les constats opérés dans la décision litigieuse à ce propos sont sans conséquence sur les droits du recourant.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144 V 210 consid. 4.3.1 ; 143 V 446 consid. 3.3 ; 138 V 176 consid. 7.1 ; TF 9C_881/2018 du 6 mars 2019 consid. 4.1).</w:t>
      </w:r>
    </w:p>
    <w:p>
      <w:r>
        <w:t>- 9 - c) En l’espèce, l'ancien droit reste applicable, l’état de fait déterminant pour statuer sur la réduction de l’allocation pour impotent étant antérieur au 1er janvier 2022, quand bien même la décision formelle n’a été rendue que le 15 septembre 2022.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w:t>
      </w:r>
    </w:p>
    <w:p>
      <w:r>
        <w:t>- 10 -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 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moeurs usuelles (ATF 121 V 88 consid. 6c). Cependant, si certains actes sont rendus plus difficiles ou même ralentis par l’infirmité, cela ne</w:t>
      </w:r>
    </w:p>
    <w:p>
      <w:r>
        <w:t>- 11 - suffit pas pour conclure à l’existence d’une impotence (TF 9C_360/2014 du 14 octobre 2014 consid. 4.4). 5. a) Selon l’art. 17 al. 2 LPGA, toute prestation durable – telle l’allocation d’impotence (TF 8C_533/2019 du 11 décembre 2019 consid. 3.1 et les références citées) – accordée en vertu d’une décision entrée en force est, d’office ou sur demande, augmentée ou réduite en conséquence, ou encore supprimée si les circonstances dont dépendait son octroi changent notablement.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(ATF 141 V 9 consid. 2.3 et 133 V 108 consid. 5). Une communication, au sens de l'art. 74ter let. f RAI, a valeur de base de comparaison dans le temps si elle résulte d'un examen matériel du droit à la prestation (TF 8C_527/2018 du 1er avril 2019 consid. 5.1.1 ; TF 9C_622/2015 du 9 mars 2016 consid. 3.2 et les références citées). b) En matière d’allocation pour impotent, l’art. 35 al. 2, première phrase, RAI prévoit plus particulièrement que lorsque le degré d’impotence subit une modification importante, les art. 87 à 88bis RAI sont applicables. A cet égard,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88bis al. 2 let. a RAI précise en outre que la diminution ou la suppression de l’allocation pour impotent prend effet au plus tôt le premier jour du deuxième mois qui suit la notification de la décision.</w:t>
      </w:r>
    </w:p>
    <w:p>
      <w:r>
        <w:t>- 12 - c) Pour les assurés mineurs au bénéfice d’une allocation d’impotence, l’accession à la majorité ne constitue pas un nouveau cas d’assurance mais doit être appréhendée sous l’angle de l’art. 17 al. 2 LPGA (ATF 137 V 424 consid. 3.3).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- 13 - bien son contenu (ATF 134 V 231 consid. 5.1 ; 125 V 351 consid. 3a ; TF 8C_510/2020 du 15 avril 2021 consid. 2.4).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7. a) En l’occurrence, il n’est pas contesté que le recourant souffre d’un autisme sévère et qu’il a actuellement besoin d’aide pour accomplir l’ensemble des actes ordinaires de la vie, à l’exception de l’acte « manger ». aa) Il ressort du rapport établi le 28 juin 2021 par l’Ecole U.________ que le recourant suit un régime strict en raison de son surpoids. Or un régime alimentaire ne justifie pas encore la reconnaissance d’un cas d’impotence. Il en va de même de la nécessité de contrôler les quantités dans le cadre général de l’attention portée au recourant pour sa santé et des encouragements qui lui sont prodigués pour débarrasser la table ou prendre un dessert. En revanche, la jurisprudence admet qu’il y a impotence lorsque la personne assurée peut certes manger seule mais ne peut pas couper ses aliments elle-même, lorsqu’elle ne peut manger que des aliments réduits en purée ou encore lorsqu’elle ne peut les porter à sa bouche qu’avec ses doigts (RCC 1981 p. 364). Selon le rapport précité, il apparaît toutefois que le recourant est en mesure de manger seul et sans aide, dès lors qu’il sait prendre son couteau et sa fourchette et les utiliser</w:t>
      </w:r>
    </w:p>
    <w:p>
      <w:r>
        <w:t>- 14 - pour couper sa viande et pour les porter à sa bouche ; il peut également se servir à boire. Outre que ces constatations rejoignent celles consignées dans le rapport pédagogique du 4 novembre 2019, elles ont également été confirmées par l’enquêtrice (cf. rapport du 6 avril 2021). A cela s’ajoute que le recourant lui-même a indiqué dans le questionnaire complété le 26 août 2019 qu’il n’avait pas besoin d’aide pour l’acte « manger ». Ainsi, si les modalités de cet acte peuvent sembler particulières, voire contraignantes pour des éducateurs, ce qui est néanmoins décisif en l’espèce c’est que le recourant puisse se nourrir seul lorsque l’environnement est favorable, nonobstant l’aide indirecte qui lui est apportée (TF 9C_688/2014 du 1er juin 2015 consid. 5.1). Partant, il convient d’admettre que le recourant ne nécessite pas une aide régulière et importante pour cet acte ordinaire de la vie, si bien que les conditions de l’impotence ne sont pas réalisées pour l’acte « manger ». bb) Les critiques appellatoires formulées par le recourant dans son acte du recours sont insuffisamment étayées pour remettre en cause les constats objectifs ressortant des pièces du dossier. C’est donc en vain qu’il tente d’imposer sa propre appréciation des preuves. En particulier, l’attestation établie le 13 octobre 2022 par la Dre D.________ ne lui est d’aucune utilité, ce médecin procédant à une appréciation générale de la situation, sans examen concret de la problématique litigieuse. b) Sur le vu des éléments qui précèdent, il n’apparaît pas que le recourant nécessite une aide régulière et importante pour l’acte « manger », de sorte que l’office intimé était fondé à procéder, par voie de révision, à la réduction de l’allocation d’impotence à un degré moyen avec effet au plus tôt le premier jour du deuxième mois qui suit la notification de la décision (art. 88bis al. 2 let. a RAI). 8. Le dossier étant complet et permettant à la Cour de céans de statuer en toute connaissance de cause, on ne voit pas en quoi la mise en œuvre d’une expertise telle que sollicitée par le recourant serait de nature à modifier les considérations qui précèdent. Il y a donc lieu d’y renoncer par appréciation anticipée des preuves (ATF 145 I 167 consid. 4.1 ; 140 I 285 consid. 6.3.1 ; 130 II 425 consid. 2.1).</w:t>
      </w:r>
    </w:p>
    <w:p>
      <w:r>
        <w:t>- 15 - 9. En définitive, le recours se révèle mal fondé dans la mesure où il a un objet et doit dès lors être rejeté dans cette même mesure. La décision attaquée, qui est conforme au droit fédéral, sera donc confirmée. 10.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 r o n o n c e : I. Le recours est rejeté dans la mesure où il a un objet. II. La décision rendue le 15 septembre 2022 par l’Office de l’assurance-invalidité pour le canton de Vaud est confirmée.</w:t>
      </w:r>
    </w:p>
    <w:p>
      <w:r>
        <w:t>- 16 - III. Les frais de justice, arrêtés à 600 fr. (six cents francs), sont mis à la charge de K.________. IV. Il n’est pas alloué de dépens. Le président : Le greffier : Du L'arrêt qui précède, dont la rédaction a été approuvée à huis clos, est notifié à : - Me Gilles-Antoine Hofstetter, avocat (pour K.________), - Office de l’assurance-invalidité pour le canton de Vaud,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