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ZD22.041564 vom 20. Dezember 2023</w:t>
      </w:r>
    </w:p>
    <w:p>
      <w:r>
        <w:t>VD Tribunal cantonal, 2023-12-20, FR</w:t>
      </w:r>
    </w:p>
    <w:p>
      <w:r>
        <w:rPr>
          <w:b/>
        </w:rPr>
        <w:t xml:space="preserve">Quelle: </w:t>
      </w:r>
      <w:r>
        <w:t>https://mcp.opencaselaw.ch/entscheid/vd_gerichte_ZD22.041564</w:t>
      </w:r>
    </w:p>
    <w:p>
      <w:r>
        <w:t>FR: VD_GERICHTE ZD22.041564 du 20 décembre 2023</w:t>
      </w:r>
    </w:p>
    <w:p>
      <w:r>
        <w:t>IT: VD_GERICHTE ZD22.041564 del 20 dicembre 2023</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t>- 13 -</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spécialisés ainsi</w:t>
      </w:r>
    </w:p>
    <w:p>
      <w:r>
        <w:t>- 14 -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des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aa) En l’occurrence, la recourante a fait l’objet d’examens sur les plans de la médecine interne générale, de la rhumatologie et de la psychiatrie auprès de F.________ SA, dont les conclusions ont été reprises par le SMR et suivies par l’office AI pour rendre la décision litigieuse. Aux termes de celle-ci, la recourante disposait, malgré les atteintes à la santé qu’elle présentait, d’une capacité de travail entière dans une activité</w:t>
      </w:r>
    </w:p>
    <w:p>
      <w:r>
        <w:t>- 15 - adaptée dans le domaine industriel léger (montage, contrôle ou surveillance d’un processus de production, ouvrière à l’établi dans des activités simples et légères, ouvrière dans le conditionnement). bb) La recourante conteste les conclusions de l’expertise de F.________ SA et soutient que l’instruction menée par l’office AI n’est pas complète. Elle considère que ses problèmes neurologiques n’ont pas été suffisamment pris en considération par les experts et qu’un nouvel examen aurait dû être réalisé pour actualiser les résultats. Elle ajoute que le diagnostic de dépendance aurait dû être retenu comme diagnostic incapacitant. Elle conteste ainsi l’appréciation de sa capacité de travail faite par les experts, estimant qu’il convient de donner la préférence à celle émanant de ses médecins traitants. b) Le rapport du 15 décembre 2021 remplit toutes les exigences formelles auxquelles la jurisprudence soumet la valeur probante d’un tel document. En effet, les experts ont examiné avec soin le dossier médical de l’assurée et ont requis la production de rapports complémentaire compilés sous l’annexe 1, à savoir : - rapport d’IRM cardiaque de stress du 27 juin 2018 du Dr A.________, spécialiste en cardiologie ; - rapport de coronarographie du 9 juillet 2018 du Dr A.________ ; - rapport cardiologique du 10 juillet 2018 du Dr A.________ ; - rapport d’anatomo-pathologie du 12 février 2019 de la Dre E.________; - rapport de chirurgie viscérale du 26 mars 2019 du Prof. W.________ et de la Dre I.________, tous deux spécialistes en chirurgie ; - rapport de médecine physique et réhabilitation du 10 septembre 2021 du Prof. U.________, spécialiste en médecine physique et réadaptation. Les experts ont en outre détaillé les plaintes spontanées et sur demande de l’assurée, et établi une anamnèse circonstanciée. Ils ont formulé des conclusions claires et motivées tant au terme de chacun de</w:t>
      </w:r>
    </w:p>
    <w:p>
      <w:r>
        <w:t>- 16 - leurs rapports qu’au terme d’une évaluation consensuelle, se fondant sur les éléments du dossier et sur leur examen clinique. Ils ont par ailleurs procédé à des examens sanguins et urinaires ainsi qu’a une échographie et à une radiographie de l’épaule droite (rapports du 5 octobre 2021). L’expert psychiatre a au demeurant analysé les ressources de l’assurée, donné son avis sur les thérapies et les traitements en cours et évalué la cohérence et la plausibilité. Les experts ont ainsi retenu les diagnostics ayant un effet sur la capacité de travail de troubles mentaux et troubles du comportement liés à l’utilisation d’alcool, syndrome de dépendance, actuellement abstinente (F10.20) et de discrète tendinopathie de l’épaule droite. c) Sur le plan psychiatrique, l’expert Y.________ a retenu – avec effet sur la capacité de travail – le diagnostic de troubles mentaux et troubles du comportement liés à l’utilisation d’alcool, syndrome de dépendance, actuellement abstinente (F10.20). Il a relevé que depuis l’arrêt de la consommation d’alcool en 2019, il n’avait pas été retrouvé de comportement impulsif ou violent, ni de mode de comportement anormal clairement inadapté à des situations personnelles et sociales très variées. De même, il n’était pas non plus retrouvé d’attitude et de comportement nettement dysharmonieux dans plusieurs secteurs de fonctionnement, l’assurée ayant des relations soutenues, positives et adaptées avec sa fille et sa petite-fille. Elle remplit ainsi de manière satisfaisante son rôle de grand-mère, tout en cohabitant avec son fils, elle et lui s’entraidant mutuellement. Même si les dosages urinaires et sanguins ont confirmé l’abstinence à la cocaïne, au cannabis et à l’alcool, l’expert a toutefois indiqué que le diagnostic posé ne permettait plus l’exercice de l’activité habituelle de serveuse. En effet, ce métier ou tout autre métier en contact régulier avec l’alcool est à proscrire. L’expert Y.________ s’est livré à une analyse structurée au moyen des indicateurs requis par la jurisprudence et a ainsi pris en compte les ressources de l’assurée. Il a ainsi relevé qu’elle parvenait à maintenir des stratégies d’évitement de situations à risque, comme celle consistant à éviter de rencontrer ses copines car elles risqueraient de la</w:t>
      </w:r>
    </w:p>
    <w:p>
      <w:r>
        <w:t>- 17 - faire rechuter sur le plan des consommations. L’expert psychiatre a également analysé diverses ressources en se référant à la mini-CIF. Si l’intéressée éprouvait une légère difficulté à s’adapter et à nouer des contacts avec autrui, elle n’avait en revanche aucun problème en particulier à s’affirmer, à évoluer au sein d’un groupe ou à se déplacer. Sous l’angle de la cohérence, l’expert a constaté qu’il y avait des divergences entre les plaintes de l’assurée, la description qu’elle fait de sa journée-type et son comportement en situation d’examen, en particulier pendant la deuxième partie de celui-ci. Durant la première partie de l’examen clinique, il a relevé des pleurs, tandis qu’en seconde partie, l’assurée s’était montrée euthymique, avait pu sourire à plusieurs reprises, s’était montrée détendue et affable. La deuxième moitié de l’examen n’avait pas non plus révélé de ralentissement psychomoteur ni de symptômes physiques d’anxiété observable. Par ailleurs, même si l’assurée se plaignait de tristesse, d’angoisse et de manque d’envie, ces plaintes n’étaient pas cohérentes avec le fait qu’elle effectuait un certain nombre d’activités récréatives et qu’elle était autonome dans les tâches élémentaires de la vie quotidienne. Au demeurant, les dosages sanguins ont conclu à des taux d’antidépresseurs indétectables, ce qui indiquait une mauvaise compliance au traitement antidépresseur prescrit, alors que le tranquillisant et l’hypnotique ont été détectés. L’expert a conclu que l’assurée ne prenait vraisemblablement que l’anxiolytique et le somnifère. Il n’a toutefois préconisé aucune option thérapeutique particulière, étant donné l’absence de pathologie psychiatrique incapacitante. d) Quant aux volets somatique de médecine interne et de rhumatologie, il sied de constater que les experts ont posé le diagnostic incapacitant de discrète tendinopathie de l’épaule droite après une analyse fouillée et détaillée des pièces au dossier, se fondant également sur les plaintes de l’assurée et sur leurs constatations cliniques, après avoir écarté les avis des médecins traitants. Ce faisant, leur rapport peut se voir conférer une pleine valeur probante. aa) Dans son rapport, l’expert rhumatologue C.________ a relevé que l’assurée se plaignait de douleurs essentiellement au niveau du</w:t>
      </w:r>
    </w:p>
    <w:p>
      <w:r>
        <w:t>- 18 - genou gauche et de la hanche gauche, avec une sensation de chaleur au niveau de la cheville gauche ; elle signalait également des douleurs au niveau des lombaires, notamment au niveau de l’épine iliaque antéro- supérieure gauche ainsi que des douleurs de l’épaule droite. Or l’examen rhumatologique effectué s’est révélé globalement satisfaisant, hormis la présence d’une probable bursite de l’épaule droite. L’échographie réalisée dans le cadre de l’expertise a effectivement permis de confirmer l’existence d’une discrète tendinopathie du long chef du biceps proche de la zone de transition horizontale verticale ; cette imagerie a mis en évidence un aspect persistant de tendinose sur le versant superficiel et latéral du supra-épineux au sein du tubercule majeur, non douloureux. Outre que cette atteinte nécessitait un traitement approprié auprès d’un rhumatologue, l’exercice d’une activité professionnelle ne devait pas comporter de port de charges, de mouvements au-dessus de la ceinture scapulaire et de mouvements répétitifs au niveau du membre supérieur droit. Selon l’expert, ces limitations fonctionnelles excluaient, à compter du mois de septembre 2021, toute capacité de travail dans les activités de serveuse, de femme de ménage et de styliste ongulaire car elles ne respectaient vraisemblablement pas le profil d’effort. Il estimait cependant qu’une rééducation et/ou une infiltration de l’épaule droite devraient permettre un retour à 100 % dans l’une ou l’autre des activités habituelles dans un délai de trois mois, la capacité de travail dans une activité strictement adaptée aux limitations fonctionnelles décrites ayant toujours été entière. bb) A l’instar du Dr L.________, l’expert rhumatologue C.________ a posé le diagnostic de fibromyalgie, auquel il a toutefois nié tout caractère incapacitant en déclarant rejoindre sur ce point l’appréciation de son confrère prénommé. Dans son rapport du 24 janvier 2020, le Dr L.________ a indiqué que la symptomatologie douloureuse dont se plaignait l’assurée s’inscrivait dans le cadre de troubles psychiatriques pour lesquels elle faisait l’objet d’un suivi. Cliniquement, il n’y avait aucune ténosynovite, aucune enthésite, ni aucune limitation fonctionnelle ostéo-articulaire ; un examen neurologique et rhumatologique était revenu normal ; quant au bilan sanguin, pratiqué à deux reprises, il s’était</w:t>
      </w:r>
    </w:p>
    <w:p>
      <w:r>
        <w:t>- 19 - également révélé « rigoureusement normal », sans aucun syndrome inflammatoire, ni aucune perturbation immunologique. En raison des doutes exprimés par son confrère radiologue à propos de l’IRM des sacro- iliaques, le Dr L.________ s’est procuré le CD des clichés ; à l’examen de ces documents, il n’a pas décelé de signes clairs en faveur d’une sacro- illite, notamment pas d’œdème significatif touchant la base (pieds) des sacro-iliaques (partie synoviale). En outre, l’assurée ne présentait aucun des critères requis par l’ASSAS [Assessment of SpondyloArthritis international Society, réd.] 2009 en faveur d’une spondylarthropathie, l’intéressée étant du reste HLA-B27 négative. Au vu de ces éléments, le Dr L.________ a conclu à l’existence d’un tableau douloureux ubiquitaire sans substrat somatique évident, correspondant à une fibromyalgie selon les critères de l’American College of Rheumatology (ACR 2010). Dans ces conditions, il estimait que, d’un point de vue ostéo-articulaire, il n’y avait pas lieu de retenir de limitation fonctionnelle ni, à plus forte raison, d’incapacité de travail découlant de cette pathologie. e) Aucune pièce médicale ne justifie de s’écarter des conclusions de l’expertise pluridisciplinaire de F.________ SA. Dans ce contexte, ni le rapport – succinct – établi par le Dr M.________ le 14 juillet 2022 ni ceux de la Dre Q.________ des 28 juillet 2022 et 1er mars 2023 ne permettent de soutenir la thèse d’une incapacité totale de travailler en toute activité. Outre que ces médecins ne discutent à aucun moment du contenu de l’expertise de F.________ SA, ils ne font pas état d’éléments qui n’auraient pas été pris en compte par les experts ou qui justifieraient de plus amples restrictions dans l’exercice d’une activité adaptée. Si le Dr M.________ évoque certes une infection au covid-19 à l’origine d’une incapacité totale de travailler, il estime toutefois que, moyennant des mesures adéquates – qu’il ne détaille pas –, la capacité de travail devrait augmenter de 10 à 15 % tous les mois. Or ce médecin, tout comme sa consoeur Q.________, ne se livre pas à un examen complet du dossier. Ainsi, aucun d’entre eux ne tient notamment compte des ressources de la recourante ni même du sevrage aux substances addictives qui a finalement conduit à la reconnaissance d’une capacité de travail de 100 % dans une activité adaptée.</w:t>
      </w:r>
    </w:p>
    <w:p>
      <w:r>
        <w:t>- 20 - f) Il sied enfin de constater que l’hyperthyroïdie auto-immune détectée par un bilan biologique et attestée dès septembre 2022 (cf. rapport des Drs M.________ et K.________, datés respectivement des 14 septembre 2022 et 8 mars 2023) peut constituer une nouvelle atteinte susceptible de rendre plausible une modification significative et durable de l’état de santé de l’assurée depuis la décision querellée du 13 septembre 2022. Le fait que l’état de l’intéressée ne serait pas stabilisé (cf. réplique du 8 mars 2023) ne constitue pas en matière d’assurance-invalidité un élément justifiant de surseoir à statuer. Quoi qu’il en soit, dans l’éventualité où l’état de la recourante devait continuer à se péjorer, il lui serait loisible de déposer une nouvelle demande de prestations. g) Sur le vu de ce qui précède, il convient de tenir pour établi que la recourante dispose d’une pleine capacité de travail dans une activité adaptée à ses limitations fonctionnelles. Dans cette mesure, elle présente à l’évidence – sans qu’il soit nécessaire de procéder à une comparaison des revenus – un degré d’invalidité largement inférieur au seuil de 40 % ouvrant le droit à une rente d’invalidité (cf. art. 28 al. 1 LAI et considérant 4b supra), voire à celui de 20 % environ, nécessaire pour bénéficier d’une mesure de reclassement (cf. ATF 139 V 399 consid. 5.3).</w:t>
      </w:r>
    </w:p>
    <w:p>
      <w:r>
        <w:rPr>
          <w:b/>
        </w:rPr>
        <w:t>E. 8</w:t>
      </w:r>
    </w:p>
    <w:p>
      <w:r>
        <w:t>Doit encore être examinée la question de la tenue de débats publics. a) L'art. 30 al. 3 Cst. (Constitution fédérale de la Confédération suisse du 18 avril 1999 ; RS 101)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par. 1 CEDH (Convention européenne de sauvegarde des droits de l’homme et des libertés fondamentales du 4 novembre 1950 ; RS 0.101), lorsque la procédure applicable le prévoit ou lorsque sa nécessité découle des exigences du droit à la preuve (cf. ATF 128 I 288 consid. 2). L'art. 6 par. 1</w:t>
      </w:r>
    </w:p>
    <w:p>
      <w:r>
        <w:t>- 21 - CEDH garantit notamment à chacun le droit à ce que sa cause soit entendue publiquement. La tenue de débats publics doit, sauf circonstances exceptionnelles non réunies en l'espèce, avoir lieu devant les instances judiciaires précédentes.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(ATF 141 I 97 consid. 5.1 ; cf. aussi TF 9C_320/2019 du 9 décembre 2019 consid. 4.1 et 8C_528/2017 du 19 décembre 2017 consid. 1.3 et les références). b) Dans son mémoire de recours, la recourante a présenté, sous l’intitulé « mesures d’instruction », la demande suivante : « Tenue d’une audience au cours de laquelle la recourante et son conseil pourront faire faire valoir leurs arguments par oral. » Si la recourante a certes demandé à être entendue oralement, elle a déposé sa requête dans le cadre de « mesures d’instruction » qu’elle sollicitait. Or, si la recourante entendait requérir une audience publique au sens de l’art. 6 CEDH, il lui incombait de le signaler en formulant une conclusion claire en ce sens (cf. TF 9C_136/2021 du 10 décembre 2021 consid. 4 et la référence), ce qu’elle n’a pas fait. Cette exigence de clarté n’apparaît en outre pas excessive, compte tenu en particulier du fait que l’intéressée est assistée d’un avocat. En l’occurrence, la recourante s’est seulement réservé le droit de solliciter une audience publique, sans confirmer ultérieurement de manière explicite sa requête tendant à la tenue de débats publics. Dans ces circonstances, telle que formulée, cette requête ne suffit pas pour fonder l’obligation d’organiser des débats publics au sens de l’art. 6 CEDH. On rappellera enfin que les garanties minimales de l’art. 29 al. 2 Cst. en matière de droit d’être entendu ne</w:t>
      </w:r>
    </w:p>
    <w:p>
      <w:r>
        <w:t>- 22 - confèrent pas le droit d’être entendu oralement par l’autorité (cf. ATF 134 I 140 consid. 5.3 et les références).</w:t>
      </w:r>
    </w:p>
    <w:p>
      <w:r>
        <w:rPr>
          <w:b/>
        </w:rPr>
        <w:t>E. 9</w:t>
      </w:r>
    </w:p>
    <w:p>
      <w:r>
        <w:t>Le dossier étant complet et permettant à la Cour de céans de statuer en pleine connaissance de cause, il n’y a pas lieu de mettre en œuvre une expertise médicale, telle que requise par la recourante (sur l’appréciation anticipée des preuves, cf. ATF 145 I 167 consid. 4.1 ; 140 I 285 consid. 6.3.1 ; 130 II 425 consid. 2.1).</w:t>
      </w:r>
    </w:p>
    <w:p>
      <w:r>
        <w:rPr>
          <w:b/>
        </w:rPr>
        <w:t>E. 10</w:t>
      </w:r>
    </w:p>
    <w:p>
      <w:r>
        <w:t>En définitive, le recours, mal fondé, doit être rejeté et la décision attaquée confirmée.</w:t>
      </w:r>
    </w:p>
    <w:p>
      <w:r>
        <w:rPr>
          <w:b/>
        </w:rPr>
        <w:t>E. 11</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et 123 CPC [code fédéral de procédure civile du 19 décembre 2008 ; RS 272], applicables par renvoi de l’art. 18 al. 5 LPA-VD). b) Il n’y a pas lieu d’allouer de dépens à la partie recourante, qui n’obtient pas gain de cause (art. 61 let. g LPGA).</w:t>
      </w:r>
    </w:p>
    <w:p>
      <w:r>
        <w:rPr>
          <w:b/>
        </w:rPr>
        <w:t>E. 12</w:t>
      </w:r>
    </w:p>
    <w:p>
      <w:r>
        <w:t>Par décision de la magistrate instructrice du 14 décembre 2022, la recourante a été mise au bénéfice de l’assistance judiciaire avec effet au 14 octobre 2022 et a obtenu à ce titre la commission d’un avocat d’office en la personne de Me François Gillard. Ce dernier n’ayant pas déposé de liste des opérations dans le délai imparti, l’indemnité sera arrêtée à 8 heures au tarif horaire de 180 fr. (art. 2 al. 1 let. a RAJ [règlement cantonal du 7 décembre 2010 sur l’assistance judiciaire en matière civile ; BLV 211.02.3]), soit 1'440 fr., débours (art. 3bis al. 1 RAJ) et TVA au taux de 7,7 % en sus, soit un montant total arrondi de 1'800 fr. pour l’ensemble de l’activité déployée dans la présente cause. La</w:t>
      </w:r>
    </w:p>
    <w:p>
      <w:r>
        <w:t>- 23 - rémunération de l’avocat d’office est provisoirement supportée par le canton, la recourante étant rendue attentive au fait qu’elle est tenue de rembourser le montant des frais de justice et de l’indemnité d’office dès qu’elle sera en mesure de le faire (art. 123 al. 1 CPC, applicable par renvoi de l’art. 18 al. 5 LPA-VD). Les modalités de ce remboursement sont fixées par la Direction du recouvrement de la Direction générale des affaires institutionnelles et des communes (art. 5 RAJ).</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