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ZD22.040725 vom 10. Oktober 2024</w:t>
      </w:r>
    </w:p>
    <w:p>
      <w:r>
        <w:t>VD Tribunal cantonal, 2024-10-10, FR</w:t>
      </w:r>
    </w:p>
    <w:p>
      <w:r>
        <w:rPr>
          <w:b/>
        </w:rPr>
        <w:t xml:space="preserve">Quelle: </w:t>
      </w:r>
      <w:r>
        <w:t>https://mcp.opencaselaw.ch/entscheid/vd_gerichte_ZD22.040725</w:t>
      </w:r>
    </w:p>
    <w:p>
      <w:r>
        <w:t>FR: VD_GERICHTE ZD22.040725 du 10 octobre 2024</w:t>
      </w:r>
    </w:p>
    <w:p>
      <w:r>
        <w:t>IT: VD_GERICHTE ZD22.040725 del 10 ottobre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- 15 -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t>- 16 - d)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 TF 8C_160/2016 du 2 mars 2017 consid. 4.1).</w:t>
      </w:r>
    </w:p>
    <w:p>
      <w:r>
        <w:t>- 17 -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w:t>
      </w:r>
    </w:p>
    <w:p>
      <w:r>
        <w:t>- 18 -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L’appréciation de la capacité de travail relève principalement de la compétence du corps médical (ATF 140 V 193 consid. 3.2). Le rôle du médecin est d’indiquer dans quelle mesure et pour quelles activités la personne assurée est incapable de travailler, en se fondant sur des constatations médicales et objectives, c’est-à-dire des observations cliniques qui ne dépendent pas uniquement des déclarations de l’intéressé, mais sont confirmées par le résultat des examens cliniques et paracliniques (TF 8C_96/2021 du 27 mai 2021 consid. 4.3.1). En outre, les données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8C_713/2019 du 12 août 2020 consid. 5.2 ; 8C_760/2014 du 15 octobre 2015 consid. 4.3 ; 9C_631/2007 du 4 juillet 2008 consid. 4. 1).</w:t>
      </w:r>
    </w:p>
    <w:p>
      <w:r>
        <w:rPr>
          <w:b/>
        </w:rPr>
        <w:t>E. 6</w:t>
      </w:r>
    </w:p>
    <w:p>
      <w:r>
        <w:t>a) En l’espèce, l'intimé admet que le recourant s'est retrouvé en incapacité de travail totale à la suite de son accident professionnel, le</w:t>
      </w:r>
    </w:p>
    <w:p>
      <w:r>
        <w:t>- 19 -</w:t>
      </w:r>
    </w:p>
    <w:p>
      <w:r>
        <w:rPr>
          <w:b/>
        </w:rPr>
        <w:t>E. 9</w:t>
      </w:r>
    </w:p>
    <w:p>
      <w:r>
        <w:t>septembre 2019, lui accordant dès lors une rente limitée dans le temps, du 1er septembre 2020 au 31 décembre 2021. Il n’est par ailleurs pas contesté que l'intéressé n'est plus en mesure d'exercer son activité habituelle de maçon, laquelle n'est plus adaptée. En revanche, à la lumière du compte-rendu de la cellule d'échange SMR du 20 mai 2022, établi par la Dre M.________, s'appuyant lui-même sur le rapport d'examen final de la Dre R.________, médecin d'arrondissement de la CNA, et sur les rapports au dossier, l'OAI considère que le recourant a retrouvé une capacité de travail de 100 % dans toute activité adaptée respectant ses limitations fonctionnelles depuis le</w:t>
      </w:r>
    </w:p>
    <w:p>
      <w:r>
        <w:rPr>
          <w:b/>
        </w:rPr>
        <w:t>E. 11</w:t>
      </w:r>
    </w:p>
    <w:p>
      <w:r>
        <w:t>octobre 2021, ce que le recourant conteste, soutenant que son état n'est pas stabilisé et que sa capacité de travail est de 50 % au maximum. Le recourant estime par ailleurs que l'intimé ne pouvait pas se contenter des seules conclusions du SMR basées sur celles de la Dre R.________, mais aurait dû mettre en œuvre une expertise pluridisciplinaire. Il y a lieu de souligner que le fait pour l’OAI de se fonder essentiellement sur les éléments médicaux rassemblés par la CNA n’est pas critiquable en soi. La seule exigence en matière d’instruction est que l’autorité concernée dispose d’un dossier suffisamment complet pour statuer en pleine connaissance de cause sur le droit aux prestations. En l’occurrence, la principale question à élucider par l’intimé relève de l’éventuelle capacité résiduelle de travail du recourant dans une activité adaptée et la date éventuelle à partir de laquelle cette activité adaptée est exigible. L’instruction conduite par la CNA visant à établir les mêmes éléments, l’OAI était sur le principe, compte tenu de l’uniformité de la notion d’invalidité (cf. consid. 4d supra), fondé à se baser sur les éléments médicaux rassemblés par l’assureur-accidents. Cela étant, avant de statuer sur les droits de l’assuré aux prestations de l’assurance-invalidité, l’intimé a bel et bien pris en compte tous les avis médicaux concernant l’ensemble des atteintes qu’il présente. De surcroît, on ajoutera que la Cour de céans, dans un arrêt entré en force, a reconnu une pleine valeur probante à l’appréciation de la</w:t>
      </w:r>
    </w:p>
    <w:p>
      <w:r>
        <w:t>- 20 - médecin d'arrondissement de la CNA, confirmant les diagnostics et limitations fonctionnelles posées par celle-ci (cf. arrêt du 25 mars 2024 en la cause AA 96/22 – 28/2024). b) En l'occurrence, l'accident dont a été victime le recourant le 9 septembre 2019 a été pris en charge par la CNA. L'assuré a ensuite déposé une demande de prestations auprès de l'OAI le 23 mars 2020, qui a fait l'objet d'une instruction en collaboration avec l'assureur-accidents. Les différents rapports médicaux ont été régulièrement communiqués à l’intimé. Le recourant a ainsi séjourné à deux reprises à la Clinique Z.________ en 2020 et en 2021. Les médecins de cette institution ont d’abord – après le premier séjour – retenu un pronostic favorable à la reprise d’une activité adaptée telle que le projet de machiniste alors envisagé par l’assuré. Ensuite, lors de son second séjour, les médecins de la Clinique Z.________ ont dressé les limitations fonctionnelles suivantes : port de charge répétés de plus de 25-30 kg, longs déplacements ou station debout prolongée. A ce moment-là et alors que des ateliers avaient eu lieu lors du séjour, les intervenants de la Clinique Z.________ ont posé le pronostic défavorable de réinsertion dans l’ancienne activité de maçon, à long terme, mais qu’une réinsertion dans une activité adaptée respectant les limitations fonctionnelles était favorable et une pleine capacité de travail attendue dans une telle activité (cf. rapports des 24 juin 2020 et 25 août 2021). Lors de son examen de l'assuré du 11 octobre 2021, le Dr P.________ a indiqué que le bilan électrophysiologique n'avait pas changé, avec une persistance de la douleur neuropathique au niveau de la plante du pied gauche ainsi que d'un déficit sensitif à l'examen neurologique, accompagné d'une hyperalgésie. Il constatait ainsi que deux ans après le traumatisme, une modification significative de ce cadre était peu probable. Le cas de l'assuré a en outre été soumis le 22 avril 2021 à la médecin d’arrondissement de la CNA, la Dre R.________, qui l'a également examiné le 15 mars 2022. La Dre R.________ a établi une anamnèse de l’ensemble des rapports médicaux émis par les médecins traitants depuis l’accident du 9 septembre 2019. Elle a posé ses diagnostics et émis son</w:t>
      </w:r>
    </w:p>
    <w:p>
      <w:r>
        <w:t>- 21 - appréciation dans laquelle elle a déterminé les limitations fonctionnelles suivantes : Pas de marche en terrains irréguliers, pas de marche prolongée et/ou répétée, pas d’activités statiques debout, pas de position accroupie ou à genou, pas de montée régulière et répétée de pentes, d’escaliers, d’échelles ou d’échelles d’échafaudage, pas de port de charges lourdes supérieures à 10 ou 15 kg, pas de port de charges en montant ou descendant des escaliers ou lors de déplacements. Elle a enfin estimé que l’activité habituelle n’était plus exigible et qu’une pleine capacité de travail dans une activité adaptée respectant les limitations fonctionnelles était attendue sans diminution de rendement. Le rapport de la médecin d'arrondissement de la CNA est ainsi fondé sur un dossier complet et les conclusions, claires et étayées, sont convaincantes. Les conclusions de ce rapport sont par ailleurs concordantes avec celles des médecins de la Clinique Z.________, qui avaient déjà retenu des limitations fonctionnelles similaires. Quant à la Dre S.________, médecin traitante, elle ne s'est, avant la procédure judiciaire, pas prononcée sur la capacité de travail du recourant, se contentant d'établir de simples certificats d'arrêt de travail non motivés qui ne sauraient constituer des pièces suffisantes pour remettre en cause les rapports des médecins de la Clinique Z.________ et de la Dre R.________. Au vu de ce qui précède, force est de constater que l'intimé a rendu sa décision en se fondant sur un avis du SMR reprenant les conclusions de l'examen complet et probant de la médecin d'arrondissement de la CNA, dont les appréciations concordent au demeurant avec celles des médecins de la Clinique Z.________, où l'assuré a séjourné à deux reprises, ainsi que celles du Dr P.________ et qui a au demeurant été confirmée par une décision de justice entrée en force. La critique du recourant selon laquelle l'intimé ne pouvait pas se contenter de l'avis SMR renvoyant à l'examen de la Dre R.________ ne saurait ainsi être suivie. A cet égard, on rappellera que les avis SMR opèrent une synthèse de la documentation médicale à disposition et ne sont pas dénués de valeur probante. Ils peuvent servir de socle à l’appréciation de l’administration ou du tribunal pour autant que leur fiabilité ne soit pas mise en doute (cf. consid. 5d supra), ce qui n'est pas le cas en l'espèce. Au</w:t>
      </w:r>
    </w:p>
    <w:p>
      <w:r>
        <w:t>- 22 - vu des documents à sa disposition, la mise en œuvre d’une expertise était superfétatoire et l'argument du recourant tombe dès lors à faux. c) Le recourant fait cependant valoir que sa capacité de travail dans une activité adaptée n'est que de 50 % au maximum, en se référant aux rapports des 19 octobre 2022 et 21 mars 2023 de sa médecin traitante. En l’occurrence, les rapports de la Dre S.________ ne sont d'aucun secours au recourant. En effet, dans son rapport du 19 octobre 2022, la médecin traitante s'est limitée à reprendre les limitations fonctionnelles retenues par l'OAI et a estimé une capacité de travail de 40 % dans un poste adapté, sans motivation de son appréciation divergente. Quant au rapport du 21 mars 2023, ce document ne retient aucun élément nouveau depuis la décision litigieuse. En se fondant sur des limitations fonctionnelles toujours identiques à celles prises en compte par l'intimé, la médecin traitante confirme retenir pour sa part une capacité résiduelle de travail du recourant de 40 à 50 % dans une activité adaptée aux restrictions. L’avis de la Dre S.________ paraît procéder d’une appréciation divergente d’un même état de fait clairement établi sur le plan médical, mais sans avoir effectué un examen clinique, ni pris en considération la nécessité d’une approche globale et circonstanciée du cas. En tout état de cause, faute de motivation, la Dre S.________ n’objective pas son appréciation divergente de la capacité de travail résiduelle de son patient. De manière plus générale, il convient de rappeler qu’il est admis, de jurisprudence constante, que le médecin traitant est généralement enclin, en cas de doute, à se montrer favorable envers son patient en raison du mandat thérapeutique et de la relation de confiance qui l’unit à ce dernier (cf. consid. 5e supra). Dans ses écritures, le recourant fait valoir que la Dre S.________ continue de lui signer des attestations d'arrêt de travail compte tenu des limitations fonctionnelles dont il souffre. Il n’expose cependant pas quelle limitation aurait été erronément écartée, se référant de manière générale à ses limitations fonctionnelles et déclarant que les limitations basées sur</w:t>
      </w:r>
    </w:p>
    <w:p>
      <w:r>
        <w:t>- 23 - le dossier de l'assurance-accident ont été « minimisées ». Il s'agit là également de son appréciation personnelle de sa capacité de travail résiduelle, sur la base d’un état de fait identique. Dès lors que les médecins de la Clinique Z.________ – après avoir pu examiner et observer l’assuré dans des ateliers et sur une durée continue de près d’un mois – et, après eux, la Dre R.________, ont déterminé une capacité de travail entière dans une activité adaptée aux limitations fonctionnelles, on ne voit ainsi pas quelle limitation aurait été omise par l'intimé. Par ailleurs, en évoquant un échec lors d'un stage de « caissier », cette simple affirmation du recourant, au demeurant non étayée quant aux motifs, ne saurait remettre en cause les évaluations médicales de la capacité de travail, l’appréciation de la capacité de travail résiduelle étant une appréciation qui relève en premier lieu des médecins. On relève au surplus qu'un tel poste ne paraît d’emblée pas adapté aux limitations fonctionnelles retenues quant à l'alternance des positions assis/debout, ce qui a possiblement conduit à cet échec. On relèvera encore que les limitations fonctionnelles retenues permettent d’envisager de nombreuses activités adaptées, même si l’activité habituelle doit être abandonnée. A ce sujet, on ignore pour quelle raison le projet initial de l’assuré de se former à la fonction de machiniste a échoué, respectivement a été abandonné, et si cette activité correspondait à ses limitations fonctionnelles. d) En conclusion, il y a lieu de retenir que le recourant bénéficie, dès le 11 octobre 2021, d’une entière capacité de travail dans une activité adaptée respectant ses limitations fonctionnelles (pas de marche en terrains irréguliers, pas de marche prolongée et/ou répétée, pas d’activités statiques debout, pas de position accroupie ou à genou, pas de montée régulière et répétée de pentes, d’escaliers, d’échelles ou d’échelles d’échafaudage, pas de port de charges lourdes supérieures à 10 ou 15 kg, pas de port de charges en montant ou descendant des escaliers ou lors de déplacements, alternance des positions assis/debout).</w:t>
      </w:r>
    </w:p>
    <w:p>
      <w:r>
        <w:t>- 24 - Par ailleurs, même si la décision attaquée se fonde sur un dossier médical essentiellement bâti par l’assureur-accidents, alors qu’aucun examen clinique ni aucune expertise indépendante n’ont été diligentés par le SMR, les constatations de la Dre R.________ s’avèrent complètes, claires, motivées et ne sont mises en doute par aucun élément au dossier, pas même par les rapports de la médecin traitante, la Dre S.________. Les rapports de cette dernière échouent par ailleurs à démontrer une péjoration des limitations fonctionnelles de l'assuré. Enfin, les constatations de la Dre R.________ ont été confirmées par un arrêt de la Cour de céans entré en force (cf. consid. 7 de l’arrêt du 25 mars 2024 dans la cause AA 96/22 – 28/2024). 7. La question de la capacité de travail résiduelle étant tranchée, il convient d'examiner le dossier sous l'angle économique et de déterminer le revenu avec invalidité et, partant, si le recourant a droit à une rente d'invalidité. 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w:t>
      </w:r>
    </w:p>
    <w:p>
      <w:r>
        <w:t>- 25 -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- 26 - b) En l’espèce, le recourant n’a pas contesté la méthode choisie, ni le calcul du degré d’invalidité effectué par l’intimé. Il se limite à affirmer sans argument que le revenu d'invalide est « surestimé » et que ses stages ont permis de constater qu’une capacité de travail de 50 % au maximum était réalisable. aa) Sur le taux d’activité, ainsi qu’il a été vu, il appartient aux médecins de le fixer, les stages permettant à titre d’indice, de renseigner lesdits médecins étant précisé qu’un échec pratique n’a pas nécessairement une origine médicale mais peut aussi survenir en raison d’un déconditionnement ou d’autres facteurs étrangers aux raisons indemnisables par la LAI, voire d’une activité non adaptée. bb) Les montants retenus par l'intimé, à savoir 73'600 fr. 32 à titre de revenu sans invalidité et de 62'527 fr. 47 de revenu avec invalidité, entraînant un taux d'invalidité de 15.05 %, vérifiés d’office, appellent les considérations qui suivent. aaa) S’agissant du revenu sans invalidité, l’OAI a retenu un montant de 73'600 fr. 32, sur la base du « salaire 2017-2018 indexé à 2021 » (cf. « IP – Calcul du salaire exigible » du 2 juin 2021), sans aucun autre détail au dossier quant au calcul aboutissant à ce montant. Or en prenant en compte la moyenne des revenus inscrits au compte individuel AVS de l'assuré en 2017 et 2018, à savoir 70'816 fr. 50 (71'434 fr. + 70'199 fr. ÷ 2) et en l'actualisant à l’année 2021 (année d’ouverture de l’éventuel droit à la rente) au moyen de l’Indice suisse des salaires nominaux (ISS ; tableau T39 « Evolution des salaires nominaux, des prix à la consommation et des salaires réels 1942-2023) », l'OAI devait aboutir, étant donné une indexation de 0.9 % en 2019, 0.8 % en 2020 et -0.7 % en 2021, à un revenu sans invalidité déterminant de 71'521 fr. 30. Pour le reste, ce montant n'apparaît pas critiquable dans la mesure où il est supérieur à celui communiqué par l'employeur X.________ SA aux termes du rapport employeur complété le 6 mai 2020.</w:t>
      </w:r>
    </w:p>
    <w:p>
      <w:r>
        <w:t>- 27 - bbb) Pour fixer le revenu d'invalide, l'intimé s'est fondé sur le revenu auquel peuvent prétendre les hommes effectuant des activités simples et répétitives dans le secteur privé, tel qu’il ressort de l’Enquête suisse sur la structure des salaires 2018 (ESS), éditée par l’Office fédéral de la statistique (OFS), à savoir un montant mensuel de 5'417 francs. Comme les salaires bruts standardisés tiennent compte d’un horaire de travail de 40 heures, l'intimé l'a dès lors adapté à la durée hebdomadaire usuelle dans les entreprises en 2018, à savoir 41,7 heures, dont il résulte un salaire brut annuel de 67'766 fr. 67. Dans son calcul, l'OAI aurait toutefois dû tenir compte d'une indexation de -0.7 % en 2021 et non de 0.8 %, ce chiffre étant déjà publié au moment de la décision litigieuse le 8 septembre 2022. Dès lors, après adaptation à l’évolution des salaires selon l’indice des salaires nominaux pour les hommes des années 2019 (+ 0,9 %), 2020 (+ 0,8 %) et 2021 (-0.7 %), l'OAI devait arriver à un revenu annuel brut statistique de 68'441 fr. 10. Afin de tenir compte des limitations fonctionnelles, l'intimée a pris en compte un abattement supplémentaire de 10 % - qui ne prête pas le flanc à la critique –, ce qui conduit au salaire exigible final de 61'597 francs. ccc) Partant, en retenant un revenu de valide de 71'521 fr. 30 et après comparaison avec le revenu d’invalide de 61'597 fr., il en résulte un préjudice économique de 9'924 fr. 30 (71'521 fr. 30 – 61'957 fr.), ce qui correspond à un degré d'invalidité de 13.87 % (9'924 fr. 30 ÷ 71'521 fr. 30). c) En définitive, un taux d'invalidité de 13.87 % est insuffisant pour ouvrir le droit à une rente de l’assurance-invalidité (cf. art. 28 al. 1 LAI) et l’intimé était dès lors fondé à supprimer la rente d'invalidité du recourant après le 31 décembre 2021, trois mois après qu'il ait recouvré une pleine capacité de travail dans une activité adaptée à ses limitations fonctionnelles (art. 17 al. 1 LPGA et 88a al. 1 RAI). 8. Le dossier est complet, permettant ainsi à la Cour de statuer en connaissance de cause. Un complément d’instruction, singulièrement la mise en œuvre d’une expertise judiciaire apparaît inutile car les</w:t>
      </w:r>
    </w:p>
    <w:p>
      <w:r>
        <w:t>- 28 - renseignements médicaux pertinents et nécessaires figurent au dossier, de sorte que la requête formulée en ce sens par le recourant dans ses écritures doit être rejetée. L’instruction ayant été menée de manière complète par l’OAI qui a pris le soin de se renseigner auprès des autres assureurs sociaux, de l’ensemble des médecins, sur l’ensemble des atteintes à la santé du recourant pouvant induire des limitations fonctionnelles, il est possible de statuer en l’état du dossier par appréciation (anticipée) des preuves (ATF 145 I 167 consid. 4.1 ; 140 I 285 consid. 6.3.1 ; 130 II 425 consid. 2.1). Au demeurant, on rappelle que le recourant n’a critiqué aucun diagnostic, n’a critiqué qu’abstraitement les limitations fonctionnelles retenues, en sorte qu’on ne perçoit pas quel aspect nécessiterait d’être davantage instruit. Enfin, aucune pièce produite ne permet de douter des conclusions du SMR suivies par l’OAI, en sorte qu’un examen supplémentaire ne serait pas de nature à influencer le sort de la cause. 9. a) En définitive, le recours, mal fondé, doit être rejeté et la décision rendue le 8 septembre 2022 par l'OAI confirmée. b) La procédure de recours en matière de contestations portant sur l’octroi ou le refus de prestations de l’assurance-invalidité devant le tribunal cantonal des assurances est soumise à des frais de justice (art. 69 al. 1bis LAI). Il convient de les fixer à 600 fr. et de les imputer au recourant, qui succombe. Ils sont toutefois provisoirement laissés à la charge de l’Etat, puisque l'intéressé a été mis au bénéfice de l’assistance judiciaire par décision du 18 novembre 2022. c) Il n’y a pas lieu d’allouer de dépens à la partie recourante, qui n’obtient pas gain de cause (art. 61 let. g LPGA). d) Le recourant est au bénéfice de l’assistance judiciaire. Me Munoz peut prétendre à une équitable indemnité pour son mandat d’office, qu'il y a lieu de fixer en équité, au montant forfaitaire de 2'000 fr. (art. 2, 3 al. 2 et 3bis RAJ [règlement cantonal du 7 décembre 2010 sur</w:t>
      </w:r>
    </w:p>
    <w:p>
      <w:r>
        <w:t>- 29 - l’assistance judiciaire en matière civile ; BLV 211.02.3]) débours et TVA compris.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