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ZD22.040720 vom 27. November 2023</w:t>
      </w:r>
    </w:p>
    <w:p>
      <w:r>
        <w:t>VD Tribunal cantonal, 2023-11-27, FR</w:t>
      </w:r>
    </w:p>
    <w:p>
      <w:r>
        <w:rPr>
          <w:b/>
        </w:rPr>
        <w:t xml:space="preserve">Quelle: </w:t>
      </w:r>
      <w:r>
        <w:t>https://mcp.opencaselaw.ch/entscheid/vd_gerichte_ZD22.040720</w:t>
      </w:r>
    </w:p>
    <w:p>
      <w:r>
        <w:t>FR: VD_GERICHTE ZD22.040720 du 27 novembre 2023</w:t>
      </w:r>
    </w:p>
    <w:p>
      <w:r>
        <w:t>IT: VD_GERICHTE ZD22.040720 del 27 novembre 2023</w:t>
      </w:r>
    </w:p>
    <w:p>
      <w:pPr>
        <w:pStyle w:val="Heading2"/>
      </w:pPr>
      <w:r>
        <w:t>Erwägungen</w:t>
      </w:r>
    </w:p>
    <w:p>
      <w:r>
        <w:rPr>
          <w:b/>
        </w:rPr>
        <w:t>E. 2</w:t>
      </w:r>
    </w:p>
    <w:p>
      <w:r>
        <w:t>juillet 2020, si bien que le droit éventuel à une rente d’invalidité pourrait prendre naissance au plus tôt le 1er janvier 2021 (cf. art. 29 al. 1 LAI). L’ancien droit, dans sa teneur en vigueur jusqu’au 31 décembre 2021, s’applique dès lors au cas d’espèce.</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w:t>
      </w:r>
    </w:p>
    <w:p>
      <w:r>
        <w:t>- 13 -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w:t>
      </w:r>
    </w:p>
    <w:p>
      <w:r>
        <w:t>- 14 -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w:t>
      </w:r>
    </w:p>
    <w:p>
      <w:r>
        <w:t>- 15 - preuve, ni sa désignation comme rapport ou comme expertise, mais bel et bien son contenu (ATF 134 V 231 consid. 5.1 ; 125 V 351 consid. 3a ; TF 8C_510/2020 du 15 avril 2021 consid. 2.4).</w:t>
      </w:r>
    </w:p>
    <w:p>
      <w:r>
        <w:rPr>
          <w:b/>
        </w:rPr>
        <w:t>E. 5</w:t>
      </w:r>
    </w:p>
    <w:p>
      <w:r>
        <w:t>a) En l’espèce, dans le cadre de la procédure ayant fait suite à la demande de prestations du 5 mars 2015, les experts de la policlinique K.________ ont retenu, dans leur rapport du 5 septembre 2017, les diagnostics – avec influence sur la capacité de travail – de syndrome radiculaire à la vertèbre C7 à gauche apparu après une microdiscectomie et la pose d’une cage pour une hernie discale médio-latérale gauche (en janvier 2015), de lombocruralgies chroniques avec une hernie discale aux vertèbres L5-S1 comportant une discrète compression radiculaire à la vertèbre S1 à gauche et avec une nécrose aseptique de la hanche gauche ayant menée à la mise en place d’une prothèse totale de la hanche gauche (en octobre 2013), de douleurs chroniques au poignet gauche survenues après l’accident de décembre 1997 et l’opération d’octobre 1998, de péri-arthropathie scapulo-humérale gauche et de diabète de type 2 à l’origine de polyneuropathies ainsi que les diagnostics – non incapacitants – de syndrome de tunnel carpien gauche discret et de traits de personnalité émotionnellement labile. Selon eux, le recourant présentait principalement des limitations fonctionnelles d’ordre somatique. Aucune limitation fonctionnelle de nature psychique n’avait en revanche été constatée. La capacité de travail dans l’activité habituelle de chauffeur-livreur était nulle depuis le 1er septembre 2014, tandis qu’elle était totale à compter du 1er juillet 2015 dans une activité adaptée, à savoir une activité sans conduite professionnelle, à horaire régulier, sans travail de nuit, sans effort physique, sans mouvement répété en rotation de la nuque, sans mouvements amples en rotation de l’épaule gauche, limité à 90° d’élévation et d’abduction, sans déplacement en terrain irrégulier, sans position accroupie, à genoux, assise dans un fauteuil profond et statique debout prolongée, sans franchissement d'échelle et d’échafaudage, sans travail en hauteur, sans franchissement régulier d'escaliers et de pente et sans emploi en force ou en mouvement répétitif de la main gauche, avec un port de charges limité à 5 kg.</w:t>
      </w:r>
    </w:p>
    <w:p>
      <w:r>
        <w:t>- 16 - Sur la base des conclusions de ces experts, l’Office AI du canton O.________, par décision du 15 novembre 2017, a refusé au recourant le versement d’une rente d’invalidité, au motif que l’exercice d’une activité adaptée aux limitations fonctionnelle susmentionné lui permettait de réaliser des gains excluant le droit à une telle prestation. Cette décision est entrée en force dans l’intervalle. b) Dans le cadre de la procédure relative à la nouvelle demande de prestations du 2 juillet 2020, les experts du centre C.________ ont fait état, dans leur rapport du 15 août 2022, des diagnostics – avec incidence sur la capacité de travail – de diabète insulinotraité, de polyneuropathie des membres inférieurs, de syndrome lombaire non déficitaire sur une petite hernie discale aux vertèbres L5-S1 à gauche avec une compression radiculaire de la vertèbre S1 à gauche, de status après la pose d’une prothèse totale de la hanche à gauche pour une nécrose aseptique de la tête fémorale, de syndrome cervical non déficitaire sur status après une microdiscectomie cervicale aux vertèbres C6-C7 à gauche pour une hernie discale avec syndrome de la vertèbre C7 à gauche ainsi que de status après une fracture du radius, une luxation de l’articulation radio-cubitale gauche et une fracture du troisième métacarpien gauche. Ils ont de surcroît relevé les diagnostics – non- incapacitants – d’hypertension artérielle, d’obésité, de hernie ombilicale, de goutte, de dyslipidémie, de discret syndrome sous-acromial à gauche, de status après une fracture de la styloïde cubitale gauche, de syndrome du canal carpien gauche discret, de status après une fracture non déplacée de la base du premier métatarsien gauche, de trouble anxieux et dépressif mixte, d’accentuation de traits de la personnalité émotionnellement vulnérable (abandonnique) et de troubles mentaux et du comportement liés à l’utilisation d’alcool. Selon eux, la capacité de travail était nulle dans l’activité habituelle, tandis qu’elle était pleine depuis toujours (hormis une période d’incapacité de travail de 20 % d’une durée de trois mois dès le 2 décembre 2016 en raison d’un épisode dépressif réactionnel léger) dans une activité adaptée, demandant d’être exercée durant la journée et excluant les horaires postés, la conduite de machines-outils, les travaux en hauteur, le port de charges fréquent</w:t>
      </w:r>
    </w:p>
    <w:p>
      <w:r>
        <w:t>- 17 - supérieur à 5 kg, la marche prolongée, en particulier sur un terrain irrégulier, le travail sur des échelles, la station debout, assise et accroupie prolongée de même que la rotation fréquente de la nuque et les mouvements répétitifs et en force du membre supérieur gauche. Aussi, il n’y a pas lieu de s’écarter des conclusions de cette seconde expertise, laquelle doit se voir reconnaître une pleine valeur probante. En effet, les points litigieux ont fait l’objet d’une étude circonstanciée, notamment en ce qui concerne l’exclusion des diagnostics de trouble dépressif sévère et de syndrome douloureux somatoforme persistant mentionnés par le Dr Q.________. Le rapport d’expertise pluridisciplinaire se fonde en outre sur des examens somatiques (examen clinique des différents membres, radiologiques, etc.) et psychiques complets et a été établi en pleine connaissance du dossier. Les plaintes du recourant, en particulier celles en lien avec ses multiples douleurs diffuses, ont été prises en compte. Enfin, la situation sur le plan médical a été décrite de façon claire et les conclusions selon lesquelles l’état de santé du recourant, que ce soit sur les plans de la médecine interne générale, rhumatologique ou psychiatrique, ne s’est pas péjoré depuis la dernière expertise de 2017 ont été suffisamment motivées. A cet égard, les diagnostics et les limitations fonctionnelles mis en évidence par les experts du centre C.________ sont dans l’essentiel identiques à ceux retenus par les experts de la policlinique K.________, sous réserve du diagnostic de status après fracture du métatarsien gauche, laquelle est intervenue en 2021, ainsi que des diagnostics de trouble anxieux et dépressif et de troubles mentaux et du comportement liés à l’utilisation d’alcool, lesquels n’ont toutefois pas d’impact sur la capacité de travail selon la Dre R.________. Quant au diagnostic de péri-arthropathie scapulo- humérale gauche relevé en 2017 et les limitations fonctionnelles y afférant, ils ont été écartés par le Dr L.________, ce spécialiste ayant observé une épaule gauche sans restriction de la mobilité. c) Les différentes pièces médicales versées au dossier ne sont pas en mesure de remettre en cause les conclusions de l’expertise pluridisciplinaire du centre C.________. En particulier, les explications</w:t>
      </w:r>
    </w:p>
    <w:p>
      <w:r>
        <w:t>- 18 - sommaires fournies par le Dr Q.________ dans ses rapports des 12 août et 16 novembre 2021 ne permettent pas de susciter un doute quant au bien- fondé du volet psychiatrique de cette expertise, la Dre R.________ ayant à ce titre motivé de manière claire et précise les raisons pour lesquelles elle avait écarté les diagnostics de trouble dépressif récurent, épisode actuel sévère sans symptômes psychotiques, et de syndrome douloureux somatoforme persistant. Au demeurant, dans son rapport du 3 avril 2023, le Dr J.________ a déclaré partager les constatations des experts en rhumatologie et en médecine interne relatives aux diagnostics et aux limitations fonctionnelles (voir également le rapport du 15 février 2022 du Dr B.________). Il n’a en revanche proposé aucune explication détaillée et convaincante sur les raisons l’ayant conduit à retenir une capacité de travail nulle. Du reste, sur le plan psychiatrique, ce spécialiste en médecine interne générale s’est simplement contenté de s’aligner sur les observations du psychiatre traitant. d) Dès lors, sur le vu de ce qui précède, il apparaît que le recourant continue à disposer d’une capacité de travail entière dans une activité adaptée aux limitations fonctionnelles mentionnées dans le rapport d’expertise du 15 août 2022. L’intimé était donc habilité à nier au recourant le droit à une rente d’invalidité, faute d’aggravation de son état de santé depuis la décision du 15 novembre 2017.</w:t>
      </w:r>
    </w:p>
    <w:p>
      <w:r>
        <w:rPr>
          <w:b/>
        </w:rPr>
        <w:t>E. 6</w:t>
      </w:r>
    </w:p>
    <w:p>
      <w:r>
        <w:t>a) En définitive, le recours, mal fondé, doit être rejeté et la décision rendue le 8 septembre 2022 par l'intimé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r>
        <w:t>- 19 - d) La partie recourante a été mise au bénéfice de l’assistance judiciaire par décision du 8 novembre 2022 du Juge instructeur. Les frais judiciaires mis à sa charge ci-avant sont donc provisoirement supportés par l’Etat et Me Pierre Seidler peut prétendre une équitable indemnité pour son mandat d’office. Après examen de la liste des opérations déposée le 19 juin 2023, compte tenu de l’importance et de la complexité du litige, il convient d’arrêter l’indemnité à 373 fr. 30, débours et TVA compris (art. 2, 3 al. 1 et 3bis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