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ZD22.040045 vom 24. Mai 2023</w:t>
      </w:r>
    </w:p>
    <w:p>
      <w:r>
        <w:t>VD Tribunal cantonal, 2023-05-24, FR</w:t>
      </w:r>
    </w:p>
    <w:p>
      <w:r>
        <w:rPr>
          <w:b/>
        </w:rPr>
        <w:t xml:space="preserve">Quelle: </w:t>
      </w:r>
      <w:r>
        <w:t>https://mcp.opencaselaw.ch/entscheid/vd_gerichte_ZD22.040045</w:t>
      </w:r>
    </w:p>
    <w:p>
      <w:r>
        <w:t>FR: VD_GERICHTE ZD22.040045 du 24 mai 2023</w:t>
      </w:r>
    </w:p>
    <w:p>
      <w:r>
        <w:t>IT: VD_GERICHTE ZD22.040045 del 24 maggio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w:t>
      </w:r>
    </w:p>
    <w:p>
      <w:r>
        <w:t>- 16 - être exigée de lui après les traitements et les mesures de réadaptation, sur un marché du travail équilibré (revenu avec invalidité ; art. 16 LPGA). c)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w:t>
      </w:r>
    </w:p>
    <w:p>
      <w:r>
        <w:t>- 17 -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e)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w:t>
      </w:r>
    </w:p>
    <w:p>
      <w:r>
        <w:t>- 18 - sur l’assurance-invalidité ; RS 831.201]). Ces dispositions sont applicables, par analogie, lorsqu’un office de l’assurance-invalidité alloue, avec effet rétroactif, une rente d’invalidité temporaire ou échelonnée (ATF 145 V 209 consid. 5.3 ; 131 V 164 consid. 2.2 ; 125 V 413 consid. 2d). f) Les affections psychiques, les affections psychosomatiques et les syndromes de dépendance à des substances psychotropes doivent en principe faire l’objet d’une procédure probatoire structurée (ATF 145 V 215 ; 143 V 418 consid. 6 et 7 ; 141 V 281 et les références citées). aa) Il convient en premier lieu que l’atteinte soit diagnostiquée par l’expert selon les règles de l’art (ATF 141 V 281 consid. 2.1.2 et 2.2). bb)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w:t>
      </w:r>
    </w:p>
    <w:p>
      <w:r>
        <w:t>- 19 -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g) Selon la jurisprudence, les « facteurs extra-médicaux » (exagération des plaintes, réticence à accepter un traitement, faible motivation à reprendre une activité lucrative), à l'instar des facteurs psychosociaux et socioculturels, ne relèvent pas de l'assurance-invalidité. Pour admettre une invalidité, il faut dans tous les cas un substrat médical constaté de manière concluante par un médecin (spécialisé) et dont il est prouvé qu’il entrave considérablement la capacité de travail et de gain. Plus les facteurs psychosociaux et socio-culturels sont importants dans le cas d’espèce et contribuent à déterminer le tableau clinique, plus les</w:t>
      </w:r>
    </w:p>
    <w:p>
      <w:r>
        <w:t>- 20 - troubles psychiques constatés par le médecin spécialiste doivent être marqués et avoir valeur de maladie. Cela signifie que le tableau clinique ne doit pas se limiter à des atteintes dues à des facteurs socio-culturels, mais qu’il doit comprendre des éléments psychiatriques distincts, par exemple une dépression durable au sens de la médecine spécialisée, clairement différenciable des états dépressifs ou un état psychique comparable. Ainsi la présence de troubles psychiques autonome – en ce sens qu’ils doivent être distingués de la situation de stress socio-culturel – et ayant des répercussions sur la capacité de travail et de gain est indispensable pour que l’on puisse parler d’invalidité (ATF 127 V 294 consid. 5a ; TF 9C_558/2020 du 7 septembre 2021 consid. 4.2 ; 9C_848/2017 du 29 mai 2018 consid. 4.2 ; 9C_55/2016 du 14 juillet 2016 consid. 4).</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w:t>
      </w:r>
    </w:p>
    <w:p>
      <w:r>
        <w:t>- 21 -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2021 consid. 3 ; TF 9C_584/2011 du 12 mars 2012 consid. 2.3 ; TF 9C_268/2011 du 26 juillet 2011 consid. 6.1.2 et la jurisprudence citée). Cela vaut également lorsqu’un ou plusieurs médecins ont émis une opinion divergeant de celle de l’expert (TF 9C_268/2011 du 26 juillet 2011 consid. 6.1.2 avec la jurisprudence citée). d) Dans l'assurance-invalidité en tout cas, droit et médecine contribuent tous les deux, dans le cadre de leurs compétences respectives, à la détermination d'une seule et même incapacité de travail. Cela signifie que l'expert médical ne doit pas, comme cela arrive souvent, donner son avis selon sa libre appréciation et, à côté de cela, fournir les éléments sur la base desquels les organes d'application procèdent ensuite à une évaluation parallèle détachée de l'appréciation médicale subjective. Il n'y a pas une notion médicale et une notion juridique de la capacité de</w:t>
      </w:r>
    </w:p>
    <w:p>
      <w:r>
        <w:t>- 22 - travail qui devraient être examinées séparément et qui seraient régies par des règles différentes (ATF 141 V 281 consid. 5.2.3). L’administration et – en cas de recours – le juge doivent examiner si et dans quelle mesure les experts ont suffisamment et de manière compréhensible étayé leur évaluation de l'incapacité de travail, en tenant compte des indicateurs pertinents (questions de preuve) dans le domaine psychiatrique. À cette fin, les experts doivent établir un lien avec la partie précédente de l'expertise médico-psychiatrique (avec extraits du dossier, anamnèse, constatations, diagnostics, etc.), c'est-à-dire qu'ils doivent se référer en détail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A défaut, il se justifie, juridiquement, de s'en écarter (ATF 145 V 361 consid. 4.3).</w:t>
      </w:r>
    </w:p>
    <w:p>
      <w:r>
        <w:t>- 23 -</w:t>
      </w:r>
    </w:p>
    <w:p>
      <w:r>
        <w:rPr>
          <w:b/>
        </w:rPr>
        <w:t>E. 5</w:t>
      </w:r>
    </w:p>
    <w:p>
      <w:r>
        <w:t>En l’espèce, sur le plan physique, le Dr F.________ du SMR a conclu, dans son rapport du 29 juin 2020, à une incapacité de travail de 100 % dans l’activité habituelle d’employée de nettoyage dès le 20 septembre 2018 et à une capacité de travail pleine à partir du 30 avril 2019 dans une activité adaptée respectant les limitations fonctionnelles d’épargne du rachis et des genoux. Aussi, ce rapport doit se voir reconnaître une pleine valeur probante, dans la mesure où il se prononce sur les points litigieux (notamment l’attitude jugée démonstrative de l’intéressée), se fonde sur des examens rhumatologiques complets, prend en considération les plaintes exprimées (à savoir les douleurs lombaires et aux genoux), a été établi en pleine connaissance du dossier (en particulier des différents rapports du Dr N.________) et apprécie clairement le contexte et la situation médicale. Ses conclusions sont enfin bien motivées. Elles ne sont d’ailleurs pas remises en cause par l’assurée.</w:t>
      </w:r>
    </w:p>
    <w:p>
      <w:r>
        <w:rPr>
          <w:b/>
        </w:rPr>
        <w:t>E. 6</w:t>
      </w:r>
    </w:p>
    <w:p>
      <w:r>
        <w:t>a) Sur le plan psychiatrique, l’expertise menée par la Dre S.________ tient compte de l’entièreté du dossier médical de la recourante, en particulier des rapports élaborés par sa psychiatre traitante. Cette dernière a même été contactée en date du 27 septembre 2021 par téléphone, qui a alors pu renseigner l’experte sur la durée du suivi et sur le traitement médicamenteux prescrit ainsi que rapporter diverses plaintes émises (des hallucinations auditives par intermittence, un contexte post-traumatique et des insomnies). Une anamnèse complète de la situation de l’assurée tant sur le plan médical que personnel a de surplus été dressée et les nombreuses plaintes exprimées ont été relevées (outre les plaintes susmentionnées, une irritabilité, des douleurs, de la fatigue et des idées noires principalement). Les points litigieux ont fait l’objet d’une étude motivée, en particulier ceux portant sur les diagnostics retenus : l’experte a suffisamment motivé les raisons pour lesquelles elle a décidé d’écarter les diagnostics de trouble somatoforme douloureux, de trouble dépressif dû une affection médicale et de trouble post- traumatique. La Dre S.________ a en outre procédé à des examens complets, notamment un entretien approfondi et des analyses sanguines afin de vérifier le taux des médicaments absorbés. Elle a décrit le contexte médical et apprécié la situation de manière claire. Elle a enfin</w:t>
      </w:r>
    </w:p>
    <w:p>
      <w:r>
        <w:t>- 24 - suffisamment motivé ses conclusions relatives à la capacité de travail de la recourante, en expliquant pourquoi l’incapacité de travail nulle entre juin 2020 et avril 2021, puis partielle dès mai 2021, est susceptible d’évoluer positivement à court terme si un traitement approprié est mis en place. Dès lors, pour ces motifs, il convient d’accorder une pleine valeur probante à l’expertise psychiatrique. Précisons à cet égard que le fait que la Dre S.________ n’ait pas eu recours à l’ensemble des items proposés par la Mini CIF-APP – ce qui lui est reproché par la recourante – n’enlève en rien à la valeur probante de son expertise, le choix de réaliser des tests psychologiques et la manière de procéder dans ce cadre étant laissés à sa libre appréciation (cf. TF 8C_466/2017 du 9 novembre 2017 consid. 5.1). b) L’experte psychiatre s’est de surcroît référée aux indicateurs de l’ATF 141 V 281 pour évaluer la capacité de travail de la recourante, cela dans le respect des exigences jurisprudentielles y relatives (cf. supra consid. 3f et 4d). Ainsi, il ressort de son rapport du 19 octobre 2021 que le trouble de l’adaptation (CIM-10 F43.2) diagnostiqué peut être qualifié de grave sur le plan psychique dès le mois de juin 2020, soit au moment où l’assurée a développé des troubles du sommeil, une irritabilité accrue et surtout une symptomatologie anxio- dépressive (en particulier des hallucinations auditives et des idées noires) et, de ce fait, a débuté une consultation auprès de la Dre L.________. Notons à cet égard que cette dernière a également constaté, dans son rapport du 21 octobre 2020, la gravité des troubles psychiatriques et mis en évidence leurs conséquences négatives sur la vie quotidienne de sa patiente. L’impact favorable qu’a eu le suivi psychiatrique et le traitement médicamenteux sur l’état de santé de l’assurée a ensuite permis d’attester une amélioration partielle de la situation dès le mois de mai 2021, l’experte lui estimant une capacité de travail de 50 % et lui reconnaissant la capacité de refaire certaines tâches quotidiennes. Certes, la Dre S.________ n’a pas constaté de comorbidité psychiatrique incapacitante. Elle a en outre observé la présence de ressources mobilisables chez la recourante, avec une capacité d’adaptation aux règles, de planification et de structuration des tâches de même que l’entretien de bonnes relations avec la famille et l’entourage. Toutefois,</w:t>
      </w:r>
    </w:p>
    <w:p>
      <w:r>
        <w:t>- 25 - l’irritabilité accrue, la personnalité histrionique et la détresse importante entravent en partie ces ressources. L’experte a au demeurant estimé que sur le plan de la cohérence, l’attitude plaintive et les autolimitations rapportées par l’assurée en raison des douleurs contrastent quelque peu avec ses activités journalières. Cela étant, ces dernières, qui consistent en de petites promenades, le ménage léger de son appartement, des siestes et des séances de télévision, ne requièrent pas de déployer d’importantes ressources psychiques. La recourante nécessite de plus l’aide de sa famille pour la préparation du repas du soir et l’exécution des tâches ménagères plus lourdes. Pour le reste, aucun avis de la psychiatre traitante ne vient contester l’amélioration de l’état de santé observée par l’experte. c) Dès lors, au regard d’une analyse globale de l’ensemble de ces éléments, les conclusions de l’experte psychiatre quant à la capacité – évolutive – de travail n’apparaissent pas critiquables du point de vue juridique, de sorte qu’il convient de les suivre. La Dre C.________ du SMR les a d’ailleurs avalisées dans son avis du 8 novembre 2021.</w:t>
      </w:r>
    </w:p>
    <w:p>
      <w:r>
        <w:rPr>
          <w:b/>
        </w:rPr>
        <w:t>E. 7</w:t>
      </w:r>
    </w:p>
    <w:p>
      <w:r>
        <w:t>a) Au vu de ce qui précède, il convient de recalculer le degré d’invalidité de la recourante à l’aune des conclusions des Drs F.________ et L.________, afin de déterminer si une rente d’invalidité doit – du moins temporairement – lui être allouée. A noter que la capacité de travail a évolué depuis 2018 sur le plan somatique et psychique. Ainsi, du point de vue somatique, la recourante présente une incapacité de travail totale dans son activité habituelle depuis le 20 septembre 2018. Elle a retrouvé une capacité pleine dans une activité adaptée le 30 avril 2019. A niveau psychique, sa capacité de travail était nulle entre les mois de juin 2020 et avril 2021 et de 50 % depuis le mois de mai 2021. Il appartient donc de procéder à trois calculs du degré d’invalidité selon la période d’incapacité de travail en cause. b) S’agissant de la première période, qui s’étale du 20 septembre 2019 (date correspondant au terme du délai de carence d’une année de l’art. 28 al. 1 let. b LAI) au mois de mai 2020 (soit avant le début de l’incapacité de travail dans une activité adaptée en raison des troubles</w:t>
      </w:r>
    </w:p>
    <w:p>
      <w:r>
        <w:t>- 26 - psychiques), le revenu sans invalidité, qui équivaut à la moyenne des revenus cumulés entre 2013 et 2017 (vu le caractère variable de ces derniers) et indexée à 2019, se monte à 44'707 fr. 10. Calculé sur la base de l’ESS de 2018, également indexé à 2019 et tenant compte d’une déduction de 10 %, le revenu avec invalidité s’élève, quant à lui, à 49'705 fr. 20, cela par rapport à une capacité de travail de 100 % et un horaire de 41,7 par semaine. De cette façon, il résulte de la comparaison de ces deux revenus un taux d’invalidité nul, si bien qu’une rente d’invalidité ne peut pas être reconnue à la recourante pour cette première période. c) En ce qui concerne la deuxième période allant de juin 2020 à avril 2021 et durant laquelle l’assurée a été totalement incapable de travailler dans toute activité, il y a lieu de lui reconnaître le droit à une rente entière d’invalidité dès le 1er septembre 2020 (soit à l’expiration de la période de trois mois de l’art. 88a RAI), d) Enfin, pour ce qui est de la troisième période débutant en mai 2021, à savoir lorsque la recourante a recouvré une capacité de travail de 50 % dans une activité adaptée, le degré d’invalidité s’élève à 47 % au regard d’un revenu sans invalidité, indexée à 2021, de 45'199 fr. 70 et d’un revenu avec invalidité – déterminé sur la base de l’ESS de 2020 indexé à 2021 et tenant compte d’une déduction de 10 % – de 24'119 fr. 90. Ces considérations conduisent dès lors à reconnaître à la recourante le droit à un quart de rente dès le 1er août 2021 (art. 88a RAI). e) A cet égard, une déduction supérieure à 10 % – comme le réclame l’assurée –, afin de prendre en considération ses limitations fonctionnelles et son âge (58 ans au jour de la décision entreprise), ne se justifie pas dans le cas présent. Les limitations fonctionnelles retenues ont en effet déjà été comptabilisées pour fixer la capacité de travail exigible dans une activité adaptée. Concernant l'abattement pour les limitations fonctionnelles, une réduction au titre du handicap dépend de la nature des limitations fonctionnelles présentées et n'entre en considération que si, sur un marché du travail équilibré, il n'y a plus un éventail suffisamment</w:t>
      </w:r>
    </w:p>
    <w:p>
      <w:r>
        <w:t>- 27 - large d'activités accessibles à l'assuré (TF 8C_716/2021 du 12 octobre 2022 consid. 6 ; TF 8C_659/2021 du 17 février 2022 consid. 4.3.1), ce qui n’es pas le cas en l’espèce. S’agissant de l’âge, le Tribunal fédéral, à titre comparatif, a estimé qu’un abattement de 5 % était adapté dans le cas d’un assuré âgé de 60 ans disposant d’une capacité de travail entière avec une baisse de rendement de 25 % (TF 9C_847/2018 du 2 avril 2019 consid. 6.2.3). De même, un abattement supérieur à 5 % ne se justifiait pas dans le cas d’un assuré âgé de 61 ans (TF 9C_607/2015 du 20 avril 2016 consid. 5.3.2). Enfin, l’argument de la recourante selon lequel aucun emploi adapté à son état de santé n’existe sur le marché du travail équilibré ne peut pas être suivi. Les limitations fonctionnelles sur le plan psychiatrique, à savoir de la fatigue, de la fatigabilité, des difficultés à gérer le stress et le changement, de l’irritabilité et de la sensibilité aux bruits, n’empêchent en effet pas l’exercice d’une activité simple et répétitive à temps partiel, et cela d’autant plus qu’elles sont susceptibles d'amélioration sous traitement majoré. Il en est de même des limitations fonctionnelles sur le plan physique visant à épargner le rachis et les genoux, qui ont été prises en compte dans la détermination de l’activité adaptée. Le marché du travail équilibré offre un nombre suffisant d’emplois permettant de respecter ces limitations fonctionnelles, notamment dans l’industrie légère, par exemple des travaux de montage, de contrôle ou de surveillance de machines automatiques ou d’unités de production ou en tant qu’ouvrière à l’établi ou dans le conditionnement. f) Si une rente entière puis un quart de rente doivent être accordés à la recourante, se pose cependant encore la question de l’éventuelle fin du droit à cette prestation. L’experte a en effet précisé qu’avec la mise en place de mesures thérapeutiques appropriées, une capacité de travail de 80 % était atteignable dans un laps de temps de deux mois. Or, dans ce cas de figure, le degré d’invalidité serait inférieur à la limite de 40 % de l’art. 28 al. 1 let. c LAI ouvrant le droit à une rente. L’état actuel du dossier ne permet néanmoins pas de se déterminer si et, le cas échéant, quand de telles mesures – exigibles de la part de la</w:t>
      </w:r>
    </w:p>
    <w:p>
      <w:r>
        <w:t>- 28 - recourante en vue de diminuer son dommage – ont été instaurées. Partant, il convient de renvoyer la cause à l’intimé afin qu’il instruise ce point et arrête au besoin la date de la fin du droit à la rente.</w:t>
      </w:r>
    </w:p>
    <w:p>
      <w:r>
        <w:rPr>
          <w:b/>
        </w:rPr>
        <w:t>E. 8</w:t>
      </w:r>
    </w:p>
    <w:p>
      <w:r>
        <w:t>Le dossier est pour le reste complet et permet à la Cour de céans de statuer en pleine connaissance de cause. Il n’y a donc pas lieu de compléter l’instruction, comme le requiert la recourante, par la mise en œuvre d’une expertise judiciaire.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9C_748/2013 du 10 février 2014 consid. 4.2.1 ; TF 8C_361/2009 du 3 mars 2010 consid. 3.2).</w:t>
      </w:r>
    </w:p>
    <w:p>
      <w:r>
        <w:rPr>
          <w:b/>
        </w:rPr>
        <w:t>E. 9</w:t>
      </w:r>
    </w:p>
    <w:p>
      <w:r>
        <w:t>a) En définitive, le recours doit être admis et la décision du 31 août 2022 réformée en ce sens que doivent être accordés à la recourante une rente entière d’invalidité entre le 1er septembre 2020 et le 31 juillet 2021, puis un quart de rente à partir du 1er août 2021. La cause doit pour le surplus être renvoyée à l’intimé pour qu’il instruise la question de l’éventuelle fin du droit à cette rente,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la partie intimée. Par ces motifs,</w:t>
      </w:r>
    </w:p>
    <w:p>
      <w:r>
        <w:t>- 29 - la Cour des assurances sociales p r o n o n c e : I. Le recours est admis. II. La décision rendue le 31 août 2022 par l’Office de l'assurance- invalidité pour le canton de Vaud est réformée en ce sens qu’une rente entière d’invalidité est accordée à O.________ du 1er septembre 2020 au 31 juillet 2021, puis un quart de rente à partir du 1er août 2021, la cause étant pour le surplus renvoyée à cette autorité pour instruction complémentaire de la question de l’éventuelle fin du droit à cette rente, dans le sens des considérants. III. Les frais judiciaires, arrêtés à 600 fr. (six cents francs), sont mis à la charge de l’Office de l'assurance-invalidité pour le canton de Vaud. IV. L’Office de l'assurance-invalidité pour le canton de Vaud versera à O.________ la somme de 1’000 fr. (mille francs) à titre de dépens. La présidente : Le greffier :</w:t>
      </w:r>
    </w:p>
    <w:p>
      <w:r>
        <w:t>- 30 - Du L'arrêt qui précède, dont la rédaction a été approuvée à huis clos, est notifié à : - PROCAP, Centre de Conseil en Assurances Sociales (pour O.________),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