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ZD22.039805 vom 19. Dezember 2023</w:t>
      </w:r>
    </w:p>
    <w:p>
      <w:r>
        <w:t>VD Tribunal cantonal, 2023-12-19, FR</w:t>
      </w:r>
    </w:p>
    <w:p>
      <w:r>
        <w:rPr>
          <w:b/>
        </w:rPr>
        <w:t xml:space="preserve">Quelle: </w:t>
      </w:r>
      <w:r>
        <w:t>https://mcp.opencaselaw.ch/entscheid/vd_gerichte_ZD22.039805</w:t>
      </w:r>
    </w:p>
    <w:p>
      <w:r>
        <w:t>FR: VD_GERICHTE ZD22.039805 du 19 décembre 2023</w:t>
      </w:r>
    </w:p>
    <w:p>
      <w:r>
        <w:t>IT: VD_GERICHTE ZD22.039805 del 19 dicembre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- 9 - raisonnablement exigibles, s’il a présenté une incapacité de travail d’au moins 40 % en moyenne durant une année sans interruption notable et si, au terme de cette année, il est invalide à 40 % au moins (art. 28 al. 1 LAI).</w:t>
      </w:r>
    </w:p>
    <w:p>
      <w:r>
        <w:rPr>
          <w:b/>
        </w:rPr>
        <w:t>E. 5</w:t>
      </w:r>
    </w:p>
    <w:p>
      <w:r>
        <w:t>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l’ESS publiée tous les deux ans par l’Office fédéral de la statistique. 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w:t>
      </w:r>
    </w:p>
    <w:p>
      <w:r>
        <w:t>- 10 - c)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d)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w:t>
      </w:r>
    </w:p>
    <w:p>
      <w:r>
        <w:rPr>
          <w:b/>
        </w:rPr>
        <w:t>E. 6</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w:t>
      </w:r>
    </w:p>
    <w:p>
      <w:r>
        <w:t>- 11 - références citées ; TF 9C_107/2017 du 8 septembre 2017 consid. 5.1 ; TF 8C_160/2016 du 2 mars 2017 consid. 4.1).</w:t>
      </w:r>
    </w:p>
    <w:p>
      <w:r>
        <w:rPr>
          <w:b/>
        </w:rPr>
        <w:t>E. 7</w:t>
      </w:r>
    </w:p>
    <w:p>
      <w:r>
        <w:t>a) En l’espèce, le recourant ne remet pas en cause l’appréciation de sa situation médicale. b) Sur le plan somatique, le recourant a présenté deux épisodes de cervico-brachialgies droites en décembre 2020 et en septembre 2021, ainsi qu’une double hernie discale C5-C6 et C6-C, avec des douleurs irradiantes allant du cou au bras droit. Il dispose d’une capacité de travail entière dans une activité adaptée à ses limitations fonctionnelles, soit excluant le port de charges lourdes et les efforts au niveau de la musculature para-cervicale. Il sied de rappeler que le recourant, licencié avec effet au 31 janvier 2019 de son poste de chef d’atelier, a ensuite émargé à l’assurance-chômage. Le second épisode de cervico-brachialgies est intervenu dans le cadre de sa nouvelle activité professionnelle dans une boulangerie. En définitive, il n’a donc pas présenté d’atteinte sur le plan cervical lorsqu’il travaillait en qualité de chef d’atelier. c) Sur le plan psychiatrique, le recourant a fait un burn-out en 2018 qui a conduit à une incapacité de travail de douze mois dans son activité de chef d’atelier (cf. communication du 22 février 2022 rédigée par la prestataire de la mesure d’intervention précoce). Il n’existe à cet égard ni diagnostic, ni incapacité de travail actuellement attestée et l’intéressé ne se prévaut ni ne démontre qu’il présente une atteinte psychique.</w:t>
      </w:r>
    </w:p>
    <w:p>
      <w:r>
        <w:rPr>
          <w:b/>
        </w:rPr>
        <w:t>E. 8</w:t>
      </w:r>
    </w:p>
    <w:p>
      <w:r>
        <w:t>a) Dans un premier moyen, le recourant critique les revenus avec et sans invalidité tels que retenus par l’intimé. S’agissant du revenu sans invalidité, il estime que le calcul doit être fondé sur le salaire fixé contractuellement lors de sa dernière activité de chef d’atelier, auprès de [...]. Il soutient ainsi que le montant de 84'500 fr. devait être retenu, puis adapté au renchérissement et à l’évolution des salaires.</w:t>
      </w:r>
    </w:p>
    <w:p>
      <w:r>
        <w:t>- 12 - En l’occurrence, l’intimé s’est fondé, pour fixer le revenu sans invalidité du recourant, sur le salaire statistique auquel peut prétendre un chef d’atelier ou de service après-vente dans le domaine de la mécanique automobile. Il a retenu le montant que peuvent réaliser les hommes effectuant notamment des tâches pratiques, des tâches administratives ou utilisant des machines et appareils électroniques dans le commerce et la réparation d’automobiles (ESS 2018, TA1_tirage_skill_level, ligne 45, niveau de compétences 2), soit un revenu mensuel de 5'674 francs. Comme les salaires bruts standardisés tiennent compte d’un horaire de travail de 40 heures, ce revenu doit être adapté à la durée hebdomadaire usuelle dans les entreprises de cette division économique en 2018 (42.3 heures), soit 71'988 fr. 81. Ce montant doit encore être adapté à l’évolution des salaires de 2018 à 2022 (soit + 0,9 %, + 0,8 %, - 0,7 % et + 1,1 %), ce qui donne un revenu sans invalidité de 73’505 francs, et non de 72'149 fr. tel que retenu par l’intimé. Il sied de constater que le recourant n’a plus exercé son activité de chef d’atelier depuis le début de l’année 2018. L’employeur avait en effet résilié son contrat de travail avec effet au 31 janvier 2019, après que l’intéressé ait présenté une incapacité de travail pendant douze mois en raison d’un burn-out. Par la suite, l’intéressé a émargé à l’assurance-chômage, puis à l’aide sociale. Le premier épisode de cervico- brachialgies droites date du mois de décembre 2020. Le recourant ne réalisait donc plus le revenu contractuel dans sa dernière activité de chef d’atelier depuis près de deux ans au moment où il a présenté l’atteinte à la santé dont il se prévaut. Du reste, ce salaire statistique est similaire aux montants portés au compte individuel AVS du recourant. Dans ces conditions, il convient de constater que l’intimé a retenu à bon droit non pas le dernier salaire réalisé, mais le salaire auquel le recourant peut prétendre comme chef d’atelier ou chef de service après-vente dans le domaine de la mécanique automobile selon l’ESS 2018, ce qui correspond à un revenu de 73’505 fr. en 2022.</w:t>
      </w:r>
    </w:p>
    <w:p>
      <w:r>
        <w:t>- 13 - b) Pour le calcul du revenu d’invalide, l’intimé a retenu que les limitations fonctionnelles du recourant ne l’empêchaient pas d’exercer son activité habituelle de chef d’atelier. L’argument du recourant selon lequel il ne serait pas en mesure d’exercer son activité habituelle de chef d’atelier en raison de son absence prolongée du marché du travail doit être rejeté. Comme le relève à juste titre le spécialiste en réinsertion de l’intimé dans sa communication du 10 février 2023, il existe des offres d’emploi dans ce domaine et les exemples produits à cet égard respectent les limitations fonctionnelles de l’intéressé. De surcroit, le spécialiste a indiqué qu’une activité de chef de service après-vente pouvait être exercée. Il convient de relever que le recourant a également travaillé dans la vente de véhicules dans deux emplois successifs, soit pendant une période totale de dix-huit mois, activité n’exigeant a priori pas le port de charges lourdes ni d’efforts au niveau de la musculature para-cervicale. Du reste, ces deux activités permettent d’obtenir un salaire équivalent à celui d’un chef d’atelier dans l’automobile (ESS, TA1_tirage_skill_level, niveau de compétences 2, ligne 45). Le salaire statistique appliqué dans le cas présent est ainsi suffisamment représentatif de ce que l’intéressé serait en mesure de réaliser dès lors qu'il recouvre un large éventail d'activités adaptées à ses compétences et à ses limitations fonctionnelles. En outre, la notion de marché du travail équilibré est un concept théorique et abstrait, de sorte qu’une longue absence du marché du travail n’est pas relevante (ATF 134 V 64 consid. 4.2.1 ; 110 V 273 consid. 4b). Il ne s’agit pas d’apprécier si un employeur est effectivement disposé à confier un travail au recourant, auquel cas l’absence de résultats lors des recherches d’emploi serait pertinente, mais uniquement d’apprécier si, compte tenu de son état de santé, ce dernier est à même d’exercer une activité déterminée (Michel Valterio, Commentaire de la Loi fédérale sur l’assurance-invalidité [LAI], Genève/Zurich/Bâle 2018, n° 65 ad art. 28a LAI). Le recourant fait en outre valoir que l’intimé a confondu « métier » et « fonction ». Il explique ainsi que son métier est mécanicien automobile avec CFC et que son activité de chef d’atelier est une fonction</w:t>
      </w:r>
    </w:p>
    <w:p>
      <w:r>
        <w:t>- 14 - exercée dans une entreprise et non un métier, argument qu’il convient toutefois de rejeter. En effet, pour classer une activité dans l’ESS, il convient tout d’abord d’identifier la branche économique pertinente. Il s’agit ensuite de déterminer le niveau de compétence de l’intéressé, en mettant l’accent sur le type de tâches susceptibles d’être effectuées et le niveau de leur complexité au regard de ses qualifications (TF 8C_46/2018 du 11 janvier 2019 consid. 4.4). En revanche, que la dénomination de l’activité désigne un métier ou une fonction est à cet égard sans importance. c) En définitive, il convient, à l’instar de l’intimé, de retenir que la capacité de travail de l’intéressé dans son activité habituelle de chef d’atelier est entière. Le revenu d’invalide étant identique au revenu sans invalidité, l’invalidité du recourant est nulle, en l’absence de perte de gain.</w:t>
      </w:r>
    </w:p>
    <w:p>
      <w:r>
        <w:rPr>
          <w:b/>
        </w:rPr>
        <w:t>E. 9</w:t>
      </w:r>
    </w:p>
    <w:p>
      <w:r>
        <w:t>Dans un second moyen, le recourant conclut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Le reclassement visé par l’art. 17 LAI figure notamment parmi celles-ci.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w:t>
      </w:r>
    </w:p>
    <w:p>
      <w:r>
        <w:t>- 15 -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9C_40/2013 du 28 juin 2013 consid. 5.2 et la référence citée ; I 552/06 du 13 juin 2007 consid. 3.1).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l’espèce, le recourant ne remplit pas les conditions minimales permettant l’octroi d’une mesure de reclassement dès lors qu’il ne présente aucune diminution de sa capacité de gain. d) Partant, c’est à juste titre que l’intimé a, par la décision attaquée, refusé le droit du recourant à une mesure de reclassement professionnel.</w:t>
      </w:r>
    </w:p>
    <w:p>
      <w:r>
        <w:rPr>
          <w:b/>
        </w:rPr>
        <w:t>E. 10</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w:t>
      </w:r>
    </w:p>
    <w:p>
      <w:r>
        <w:t>- 16 - 600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