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ZD22.038529 vom 25. August 2023</w:t>
      </w:r>
    </w:p>
    <w:p>
      <w:r>
        <w:t>VD Tribunal cantonal, 2023-08-25, FR</w:t>
      </w:r>
    </w:p>
    <w:p>
      <w:r>
        <w:rPr>
          <w:b/>
        </w:rPr>
        <w:t xml:space="preserve">Quelle: </w:t>
      </w:r>
      <w:r>
        <w:t>https://mcp.opencaselaw.ch/entscheid/vd_gerichte_ZD22.038529</w:t>
      </w:r>
    </w:p>
    <w:p>
      <w:r>
        <w:t>FR: VD_GERICHTE ZD22.038529 du 25 août 2023</w:t>
      </w:r>
    </w:p>
    <w:p>
      <w:r>
        <w:t>IT: VD_GERICHTE ZD22.038529 del 25 agosto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- 12 - (art. 56 al. 1 LPGA et art. 69 al. 1 let. a LAI), dans les trente jours suivant leur notification (art. 60 al. 1 LPGA). b) En l’occurrence, le recours, motivé dans le délai imparti à cet effet (art. 27 LPA-VD [loi cantonale vaudoise du 28 octobre 2008 sur la procédure administrative ; BLV 173.36]), déposé en temps utile auprès du tribunal compétent (art. 93 let. a LPA-VD) et respectant les autres conditions formelles prévues par la loi (art. 61 let. b LPGA notamment), est recevable.</w:t>
      </w:r>
    </w:p>
    <w:p>
      <w:r>
        <w:rPr>
          <w:b/>
        </w:rPr>
        <w:t>E. 2</w:t>
      </w:r>
    </w:p>
    <w:p>
      <w:r>
        <w:t>a) Est litigieuse la question de savoir si la recourante peut prétendre à l’octroi d’une rente entière postérieurement au 1er avril 2018, respectivement à un trois quarts de rente au-delà du 31 mars 2019.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En l’occurrence, l’ancien droit demeure applicable.</w:t>
      </w:r>
    </w:p>
    <w:p>
      <w:r>
        <w:rPr>
          <w:b/>
        </w:rPr>
        <w:t>E. 3</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w:t>
      </w:r>
    </w:p>
    <w:p>
      <w:r>
        <w:t>- 13 - 31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b)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Lorsqu'on procède à une évaluation, celle-ci ne doit pas nécessairement consister à chiffrer des valeurs ; une comparaison de valeurs exprimées simplement en pour cent peut aussi suffire. Ainsi, lorsque la personne assurée dispose encore d’une capacité de travail dans son activité habituelle, le taux d’invalidité est identique au taux de l’incapacité de travail (application de la méthode de la comparaison en pour cent ; ATF 119 V 475 consid. 2b ; TF 9C_252/2021 du 9 février 2022 consid. 6 ; TF 9C_396/2009 du 12 février 2010 consid. 3.2).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w:t>
      </w:r>
    </w:p>
    <w:p>
      <w:r>
        <w:t>- 14 - rétroactif, une rente d’invalidité temporaire ou échelonnée (ATF 145 V 209 consid. 5.3 ; 131 V 164 consid. 2.2 ; 125 V 413 consid. 2d). d)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- 15 -</w:t>
      </w:r>
    </w:p>
    <w:p>
      <w:r>
        <w:rPr>
          <w:b/>
        </w:rPr>
        <w:t>E. 4</w:t>
      </w:r>
    </w:p>
    <w:p>
      <w:r>
        <w:t>La recourante fait pour l’essentiel valoir que le rapport d’expertise du Dr N.________ n’est pas probant. Or cette argumentation ne peut être suivie. L’expertise a en effet été rédigée après que la recourante a été examinée par le Dr N.________, le 20 janvier 2021. L’expert a listé les pièces du dossier, relaté les plaintes de l’assurée, établi une anamnèse détaillée (familiale, personnelle, professionnelle, affective, médicale et par système), puis procédé à un examen comprenant des tests psychologiques. C’est sur la base d’un dossier complet qu’il a apprécié la capacité de travail. Il est ainsi erroné d’affirmer, comme le fait la recourante, que le Dr N.________ n’aurait pas pris connaissance du rapport du 14 novembre 2019 du Département de psychiatrie du Centre hospitalier K.________. Il ressort en effet du rapport d’expertise que ce rapport et son contenu sont bien mentionnés dans le chapitre « Synthèse du dossier » (p. 5) ainsi qu’à titre de nouveau document dans le chapitre « Informations éventuelles fournies par des tiers » (p. 22). Après avoir résumé l’évolution professionnelle et médicale de l’assurée, l’expert psychiatre a retenu les diagnostics de trouble affectif bipolaire anamnestiquement, actuellement en rémission, et de labilité émotionnelle légère sous forme de dysthymie, ainsi que le facteur influant sur l’état de santé d’accentuation de certains traits de personnalité psychonévrotiques-instables. Il a du reste expliqué les raisons pour lesquelles il retenait ces diagnostics et ce facteur, mais également celles l’amenant à écarter les diagnostics de trouble de la personnalité et de trouble borderline. L’expert N.________ a exposé que la biographie de l’assurée évoquait une très bonne adaptation aux exigences d’une scolarité supérieure et universitaire ainsi qu’à plusieurs postes de travail. Une situation de conflit avait été évoquée dans un contexte précis et avait conduit à son dernier licenciement. Les critères diagnostiques du trouble de la personnalité n’étaient ainsi pas réalisés. L’expert a encore observé qu’il ne ressortait pas de l’anamnèse de signes de dysfonctionnement majeur ou significatif dans les cognitions, dans l’affectivité, dans le contrôle des impulsions ou dans l’interaction avec les autres. Durant l’entretien, l’assurée s’était montrée adéquate, bien que défensive avec une légère tendance dominatrice. Le trouble borderline était donc exclu.</w:t>
      </w:r>
    </w:p>
    <w:p>
      <w:r>
        <w:t>- 16 - L’expert a précisé qu’il pouvait parler d’une personnalité avec des traits psychonévrotiques, une tendance à faire des transferts psycho- émotionnels, partiellement compensés par des efforts de psychothérapie. La personnalité était à la limite de « traits accentués de personnalité ». Les traits accentués de personnalité pouvaient donner plus facilement lieu à une conflictualité, mais l'assurée disposait de beaucoup de moyens pour s'auto-gérer. L’expert n’a pas constaté, durant l’entretien, de troubles cognitifs patents, de troubles formels de la pensée, de fatigue ou de fatigabilité. L’assurée insistait beaucoup sur l’importance de ses limitations – lesquelles affectaient essentiellement son activité professionnelle – et argumentait en faveur d’une incapacité de travail partielle et durable. Le Dr N.________ n’a pas observé les limitations alléguées par l’assurée, soit la fatigue, l’épuisement, la mauvaise humeur et les troubles cognitifs, mais a cependant retenu une légère fragilité psycho-émotionnelle, une légère sensibilité au stress et aux contraintes. L’assurée avait également des ressources, qui lui avaient permis de suivre plusieurs formations complémentaires et créer sa société, ainsi qu’une vie sociale investie et beaucoup de soutien. L’expert a mis en évidence une importante divergence entre les symptômes décrits et le tableau clinique observé. Sur le plan de la capacité de travail, l’expert N.________ a retenu que la situation de l’assurée était rassurante et positive, conduisant à reconnaître une incapacité de travail de 20 % au maximum, afin de tenir compte de la légère instabilité émotionnelle constatée et de permettre de poursuivre les efforts thérapeutiques. Il a ainsi estimé que l’assurée était capable de travailler dans son activité habituelle et dans son activité indépendante de vétérinaire à 80 %, depuis le 1er janvier 2019. Quant à l’évolution de la capacité de travail dans le temps, il l’a exposée en détail. Il a d’abord relevé que l’expertise du Dr P.________ du 20 décembre 2017 préconisait une reprise progressive de l’activité jusqu’à une reprise totale en juin 2018. L’expert N.________ a ainsi estimé qu’il pouvait être retenu comme première marque d’amélioration ce qui avait été défini le 15 janvier 2018 par le Dr B.________, avec une capacité de travail de 40 %. La capacité de 80 % était quant à elle recouvrée au plus tard au début de</w:t>
      </w:r>
    </w:p>
    <w:p>
      <w:r>
        <w:t>- 17 - l’année 2019, au vu de l’activité dont avait fait preuve l’assurée pour la création de son cabinet vétérinaire. En tant qu’il se fonde sur l’entier des pièces du dossier et l’examen de l’assurée, liste ses plaintes, contient une anamnèse détaillée, évalue la cohérence et la plausibilité, contient des conclusions claires et étayées, le rapport d’expertise du Dr N.________ remplit les réquisits jurisprudentiels permettant de lui reconnaître une pleine valeur probante. L’expert n’est au demeurant contredit par aucun médecin. En premier lieu, comme exposé ci-avant, il a intégré le rapport du 14 novembre 2019 du Centre hospitalier K.________ et précisé qu’il rejoignait l’appréciation de ces médecins s’agissant de la capacité de travail de l’assurée. En second lieu, le rapport du 1er février 2022 du Dr X.________ a été soumis à l’avis du SMR, lequel a relevé qu’il n’apportait pas d’élément nouveau et ne faisait pas état d’une aggravation de la situation depuis l’expertise (avis du 1er juillet 2022). Dans son rapport du 5 février 2023, le Dr X.________ réitère par ailleurs les observations qu’il a faites le 1er février 2022, sans que des éléments nouveaux qui auraient été ignorés jusqu’ici n’en ressortent. A cela s’ajoute que le médecin estime la capacité de travail de sa patiente à 40 % depuis le début de sa prise en charge, le 7 février 2020. Cette appréciation a au demeurant été discutée dans le cadre de l’expertise du Dr N.________, qui a souligné une importante divergence entre les plaintes et la clinique, le peu d’empêchements de l’assurée et ses nombreuses ressources lui ayant notamment permis de créer sa société au début de l’année 2019. Dans ces conditions, l’OAI était fondé à retenir que la capacité de travail dans l’activité habituelle, adaptée, était de 80 % à compter du début de l’année 2019.</w:t>
      </w:r>
    </w:p>
    <w:p>
      <w:r>
        <w:rPr>
          <w:b/>
        </w:rPr>
        <w:t>E. 5</w:t>
      </w:r>
    </w:p>
    <w:p>
      <w:r>
        <w:t>La recourante a mentionné en procédure judiciaire qu’aucun chiffre n’était retenu avant et après invalidité, et qu’elle se réservait de compléter sa motivation sur cet aspect. Elle n’a pas fait valoir ce moyen en réplique.</w:t>
      </w:r>
    </w:p>
    <w:p>
      <w:r>
        <w:t>- 18 - Dans la mesure où l’OAI s’est fondé sur l’expertise, probante, du Dr N.________ qui retient que la capacité de travail est de 80 % dans l’activité habituelle, qui est adaptée, l’intimé n’avait dès lors pas à procéder à une comparaison des revenus mais pouvait se référer à la méthode de comparaison en pour cent, comme il l’a fait en l’occurrence.</w:t>
      </w:r>
    </w:p>
    <w:p>
      <w:r>
        <w:rPr>
          <w:b/>
        </w:rPr>
        <w:t>E. 6</w:t>
      </w:r>
    </w:p>
    <w:p>
      <w:r>
        <w:t>Les pièces médicales au dossier permettent à la Cour de céans de statuer, sans qu’il apparaisse nécessaire de mettre en œuvre une expertise psychiatrique.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w:t>
      </w:r>
    </w:p>
    <w:p>
      <w:r>
        <w:rPr>
          <w:b/>
        </w:rPr>
        <w:t>E. 7</w:t>
      </w:r>
    </w:p>
    <w:p>
      <w:r>
        <w:t>a) Vu ce qui précède, le recours doit être rejeté et la décision entreprise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