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ZD22.037520 vom 10. Juni 2024</w:t>
      </w:r>
    </w:p>
    <w:p>
      <w:r>
        <w:t>VD Tribunal cantonal, 2024-06-10, FR</w:t>
      </w:r>
    </w:p>
    <w:p>
      <w:r>
        <w:rPr>
          <w:b/>
        </w:rPr>
        <w:t xml:space="preserve">Quelle: </w:t>
      </w:r>
      <w:r>
        <w:t>https://mcp.opencaselaw.ch/entscheid/vd_gerichte_ZD22.037520</w:t>
      </w:r>
    </w:p>
    <w:p>
      <w:r>
        <w:t>FR: VD_GERICHTE ZD22.037520 du 10 juin 2024</w:t>
      </w:r>
    </w:p>
    <w:p>
      <w:r>
        <w:t>IT: VD_GERICHTE ZD22.037520 del 10 giugno 2024</w:t>
      </w:r>
    </w:p>
    <w:p>
      <w:pPr>
        <w:pStyle w:val="Heading2"/>
      </w:pPr>
      <w:r>
        <w:t>Erwägungen</w:t>
      </w:r>
    </w:p>
    <w:p>
      <w:r>
        <w:rPr>
          <w:b/>
        </w:rPr>
        <w:t>E. 4</w:t>
      </w:r>
    </w:p>
    <w:p>
      <w:r>
        <w:t>Dans un grief de nature formelle, le recourant se plaint d’une violation de son droit d’être entendu, au motif que l’intimé a refusé de mettre en œuvre l’expertise médicale qu’il avait sollicitée et que le dossier a été insuffisamment instruit. a) Un tel grief doit être examiné en priorité, s’agissant d’une règle primordiale de procédure dont la violation entraîne en principe l’annulation de la décision attaquée indépendamment des chances de succès du recours sur le fond (ATF 143 IV 380 consid. 1.4.1). A cet égard,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références citées ; TF 9C_751/2018 du 16 avril 2019 consid. 2.2). b) En l’occurrence, le moyen soulevé par le recourant se confond avec celui de violation du principe inquisitoire (art. 43 LPGA), de sorte qu’il doit être examiné avec le fond du litige.</w:t>
      </w:r>
    </w:p>
    <w:p>
      <w:r>
        <w:rPr>
          <w:b/>
        </w:rPr>
        <w:t>E. 5</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w:t>
      </w:r>
    </w:p>
    <w:p>
      <w:r>
        <w:t>- 14 -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w:t>
      </w:r>
    </w:p>
    <w:p>
      <w:r>
        <w:t>- 15 - tous les deux ans par l’Office fédéral de la statistique dans l’Enquête suisse sur la structure des salaires (ESS ; ATF 143 V 295 consid. 2.2 et 129 V 472 consid. 4.2.1). d) Les règles et principes jurisprudentiels relatifs à la révision du droit à une rente d’invalidité, au sens de l’art. 17 al. 1 LPGA,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8C_607/2015 du 3 février 2016 consid. 2). Aux termes de l’art. 17 LPGA, dans sa teneur en vigueur au 31 décembre 2021, si le taux d’invalidité du bénéficiaire de la rente subit une modification notable, la rente est, d’office ou sur demande, révisée pour l’avenir, à savoir augmentée ou réduite en conséquence, ou encore supprimée. Dans ce contexte,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RAI (règlement du 17 janvier 1961 sur l’assurance-invalidité ; RS 831.201) (Michel Valterio, Droit de l’assurance-vieillesse et survivants [AVS] et de l’assurance-invalidité [AI], Genève/Zurich/Bâle 2011, n° 3068 et les références citées ; TF 9C_134/2015 du 3 septembre 2015 consid. 4.1 et les références citées). e)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- 16 - références citées ; TF 8C_160/2016 du 2 mars 2017 consid. 4.1 ; TF 8C_862/2008 du 19 août 2009 consid. 4.2).</w:t>
      </w:r>
    </w:p>
    <w:p>
      <w:r>
        <w:rPr>
          <w:b/>
        </w:rPr>
        <w:t>E. 6</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t>- 17 - c) Les rapports d’examen réalisés par un SMR en vertu de l'art. 49 al. 2 RAI peuvent revêtir la même valeur probatoire que des expertises, dans la mesure où ils satisfont aux exigences requises par la jurisprudence en matière d’expertise médicale rappelées ci-dessus, bien qu’ils ne soient pas des expertises au sens de l'art. 44 LPGA et ne soient pas soumis aux mêmes exigences formelles (ATF 135 V 254 consid. 3.4 ; TF 9C_745/2010 du 30 mars 2011 consid. 3.3, 9C_600/2010 du 21 janvier 2011 consid. 2 et 9C_204/2009 du 6 juillet 2009 consid. 3.3.2 et les références citées, passage non publié in ATF 135 V 254). Il n'existe en effet pas, dans la procédure d'octroi ou de refus de prestations d'assurances sociales, de droit formel à une expertise menée par un médecin externe à l'assurance (ATF 135 V 465 consid. 4.3). Cela étant, il convient d'ordonner une expertise si des doutes, mêmes faibles, subsistent quant à la fiabilité et à la pertinence des constatations médicales effectuées par le service médical interne de l'assurance (ATF 135 V 465 consid. 4.6).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7</w:t>
      </w:r>
    </w:p>
    <w:p>
      <w:r>
        <w:t>En l’espèce, il n’est pas contesté que l’activité habituelle du recourant, soit cuisinier, n’est plus exigible. Cela étant, l’intimé a estimé, sur la base de l’examen rhumatologique réalisé le 11 mai 2021 par le Dr W.________ du SMR, que le recourant présente depuis mi-janvier 2020 une capacité de travail de 75 % dans une activité adaptée à ses limitations fonctionnelles, ce qui est contesté par l’intéressé.</w:t>
      </w:r>
    </w:p>
    <w:p>
      <w:r>
        <w:t>- 18 - Dans son rapport du 25 mai 2021, le Dr W.________ a notamment observé que les transferts assis-debout étaient légèrement ralentis, que l’assuré marchait avec une légère boiterie droite et avait toléré la station assise sans difficulté pendant les trente minutes de l’entretien. L’examen neurologique était sans particularité, hormis des fourmillements à la palpation du dos du pied et de la face extérieure de la cheville gauche parlant en faveur d’une hyperesthésie. Il n’y a avait en revanche pas d’hyperpathie et l’examen neurologique permettait aussi d’exclure un déficit radiculaire en relation avec d’éventuels troubles dégénératifs du rachis. Dans la gestuelle spontanée, le recourant épargnait son épaule gauche. Un examen sensible de la coiffe des rotateurs et la recherche d'un conflit sous-acromial n’étaient pas réalisables au vu de la participation du recourant. Il avait des douleurs dans toutes les directions à la mobilisation de ses épaules, il amenait ses bras à 90° d'abduction à droite, et à 80° à gauche, et il n’était pas possible d'aller au-delà de 30° de rotation externe à droite, et de 10° à gauche. Le recourant lâchait le testing du supra-épineux, du long chef du biceps, de l'infra-épineux des deux côtés contre une résistance légère ; il ne décollait pas la main lors du Lift Off test du subscapulaire. Le Dr W.________ a toutefois observé une incohérence entre la mobilité obtenue à l'examen clinique et la mobilité dans la gestuelle spontanée de l'épaule droite, ce qui l’a conduit à retenir une amplification des symptômes. A ce propos, il a relevé que le recourant avait mis son écharpe en fin d’examen avec une flexion de 170° à droite, soit une amplitude normale. L'examen des genoux ne montrait pas de signes de gravité. Le recourant avait une mobilité complète et symétrique, même si la flexion était douloureuse en fin de course à droite. La translation de la rotule était également douloureuse à droite, mais la recherche d'un rabot rotulien était négative. La trophicité musculaire était normale au niveau des cuisses et il n'y avait pas d'épanchement. Si les troubles dégénératifs fémoro-patellaires étaient conséquents au niveau radiologique, le Dr W.________ a noté que l’examen clinique était quant à lui rassurant. Au niveau du pied gauche, le recourant avait une abolition de son inversion, ce qui était attendu dans un status post arthrodèse de l’arrière-pied gauche. La flexion plantaire était légèrement restreinte à 30° contre 50° à gauche. La palpation était</w:t>
      </w:r>
    </w:p>
    <w:p>
      <w:r>
        <w:t>- 19 - douloureuse au niveau du dôme de l'astragale à gauche et sensible au niveau du talon, mais le dos du pied n’était pas douloureux et la mobilisation de la cheville gauche était également indolore. Fonctionnellement, le recourant marchait à une vitesse normale, mais avec une légère boiterie, et il déroulait moins bien le pied à gauche lorsqu'il était pieds nus. Le recourant s'estimait incapable de marcher sur la pointe des pieds et les talons à gauche. Il pouvait s'accroupir à 30 % et signalait être limité par les gonalgies bilatérales. Au niveau du rachis, le Dr W.________ a constaté de légers troubles statiques avec un relâchement de la sangle abdominale et une légère augmentation de la cyphose dorsale. La mobilité lombaire en flexion et en extension était complète, mais le recourant ressentait une douleur lombaire en fin d'extension. La palpation lombaire était indolore et sans contracture. Il n’y avait par ailleurs pas de syndrome rachidien lombaire ni de sciatalgie irritative. Le Dr W.________ a estimé que l’atteinte à l’épaule droite et les discopathies lombaires n’avaient pas d’impact sur la capacité de travail. En revanche, les atteintes à l’épaule gauche, au pied gauche et au genou gauche entraînaient une incapacité de travail totale de l’activité de cuisinier qui ne respectait pas les limitations fonctionnelles du recourant induites par ces troubles. Dans une activité adaptée aux limitations fonctionnelles d’épargne de l’épaule gauche et des membres inférieurs, il a conclu que la capacité de travail du recourant était de 75 %. Le rapport du 25 mai 2021 du Dr W.________ peut se voir reconnaître une pleine valeur probante. En effet, ce spécialiste s’est prononcé en pleine connaissance du dossier médical du recourant et sur la base d’une anamnèse complète. Il a procédé à un examen clinique détaillé du recourant et a tenu compte des plaintes exprimées par celui-ci. Les conclusions du médecin du SMR, prises sur la base d’une description claire du contexte médical et d’une étude circonstanciée des points litigieux, sont motivées et exemptes de contradictions, de sorte qu’elles satisfont aux réquisits jurisprudentiels permettant de leur reconnaître une pleine valeur probante.</w:t>
      </w:r>
    </w:p>
    <w:p>
      <w:r>
        <w:t>- 20 - Le recourant n’apporte aucun élément susceptible de sérieusement remettre en cause les conclusions du Dr W.________. Les arguments qu’il avance se fondent sur le rapport médical du 15 novembre 2021 de son médecin traitant, le Dr C.________. Si ce rapport est postérieur à l’examen réalisé en mai 2021 par le Dr W.________, il ne fait toutefois pas état de nouvelles atteintes à la santé ni d’éléments objectifs nouveaux qui seraient de nature à faire douter des conclusions du médecin du SMR. Les diagnostics posés par le Dr C.________ dans son rapport du 15 novembre 2021 ne sont pas nouveaux et ont été dûment pris en compte par le Dr W.________ lors de son examen du recourant. Il a également tenu compte de la chute sur l’épaule gauche survenue en avril 2021 pour l’appréciation de la situation du recourant (cf. notamment en page 2 de son rapport qui mentionne que « il [réd. : le recourant] était mieux avec son épaule G jusqu’à une chute dans les escaliers le 15.04.2021. A présent, il n’arrive plus à bouger le bras G. […] L’assuré est davantage gêné actuellement par son épaule G que par les autres problèmes. »). Concernant cette épaule gauche, relevons encore que dans son dernier rapport, le médecin traitant évoque les diagnostics déjà connus de lésions chroniques irréparables des muscles sus-épineux et scapulaires sans faire état d’une nouvelle lésion provoquée lors de la chute d’avril 2021 et qui impacterait durablement la capacité de travail du recourant dans une plus grande mesure que celle retenue par le Dr W.________. Précisons encore que les autres rapports médicaux versés au dossier ne font pas état d’atteintes à la santé qui auraient été ignorées par le médecin du SMR ni de limitations fonctionnelles plus importantes que celles retenues par lui. Enfin, quant à l’affirmation du recourant selon laquelle le traitement du pied gauche n’est pas encore terminé, elle ne permet pas d’apprécier la situation différemment, étant précisé les derniers rapports de la Dre N.________ faisaient état d’une stabilisation du pied gauche. Au vu de ce qui précède, l’intimé était fondé à retenir que le recourant disposait d’une capacité de travail de 75 % dans une activité adaptée à ses limitations fonctionnelles dès mi-janvier 2020.</w:t>
      </w:r>
    </w:p>
    <w:p>
      <w:r>
        <w:t>- 21 - Pour le surplus, le recourant ne peut être suivi lorsqu’il soutient qu’aucun emploi n’est compatible avec ses limitations fonctionnelles. En effet, les emplois mentionnés à titre d’exemples par l’intimé tiennent précisément compte des limitations fonctionnelles du prénommé et ne nécessitent pas intrinsèquement un mouvement répétitif d’abduction-adduction du bras gauche, quoi qu’en dise le recourant. Au demeurant, lors de l’examen du Dr W.________ en mai 2021, le recourant avait entrepris des démarches administratives et logistiques en vue d’ouvrir un restaurant, dont il comptait s’occuper de la supervision et des tâches administratives au taux de 30 %. Il a ainsi admis être apte à travailler malgré ses limitations fonctionnelles et en particulier être en mesure d’effectuer un travail de bureau.</w:t>
      </w:r>
    </w:p>
    <w:p>
      <w:r>
        <w:rPr>
          <w:b/>
        </w:rPr>
        <w:t>E. 8</w:t>
      </w:r>
    </w:p>
    <w:p>
      <w:r>
        <w:t>Il reste à examiner le préjudice économique du recourant. Il n’y a pas lieu de s’écarter du revenu sans invalidité fixé à 45'467 fr. par l’intimé, qui n’est pas contesté par le recourant. Le revenu avec invalidité a été calculé par l’intimé en se référant aux données ressortant de l’ESS, ce qui n’est pas contestable. Il aurait toutefois dû être calculé pour l’année 2019, soit l’année du début du droit à la rente, et non pour l’année 2020. C’est donc un revenu avec invalidité de 68'376 fr. 67 pour un taux de 100 % qui doit pris en compte (ESS 2018, Tableau TA1_skill_level, niveau de compétence 1), après indexation à 2019 et prise en compte d’une durée hebdomadaire de travail dans les entreprises de 41,7 heures, ce qui aboutit au revenu annuel de 51'282 fr. 45 pour un taux d’activité de 75 %, et finalement à 48'718 fr. 30 compte tenu d’un abattement de 5 % pour tenir compte de l’âge du recourant. L’abattement de 5 % opéré par l’intimé n’apparaît pas critiquable au vu de l’ensemble de la situation du recourant. Quoi qu’il en soit, même en procédant à l’abattement de 25 % requis par le recourant sur le salaire statistique, ce qui conduirait à retenir un revenu d’invalide de 38'461 fr. 85, son degré d’invalidité serait de 16 %, ce qui est inférieur au seuil de 40 % donnant le droit à une rente (45'467,00 - 38'461,85 / 45'467,00 x 100).</w:t>
      </w:r>
    </w:p>
    <w:p>
      <w:r>
        <w:t>- 22 - C’est donc à juste titre que l’intimé a mis un terme à la rente le 1er mai 2020, soit trois mois après que le recourant a recouvré une capacité de travail résiduelle dans une activité adaptée (cf. art. 88a al. 1 RAI).</w:t>
      </w:r>
    </w:p>
    <w:p>
      <w:r>
        <w:rPr>
          <w:b/>
        </w:rPr>
        <w:t>E. 9</w:t>
      </w:r>
    </w:p>
    <w:p>
      <w:r>
        <w:t>Le dossier est complet sur le plan médical et permet à la Cour de céans de statuer en pleine connaissance de cause. Il n’y a dès lors pas lieu de compléter l’instruction par la mise en œuvre d’une expertise pluridisciplinaire, comme le requiert le recourant. En effet, une telle mesure d’instruction ne serait pas de nature à modifier les considérations qui précèdent puisque les faits pertinents ont pu être constatés à satisfaction de droit (appréciation anticipée des preuves ; ATF 130 II 425 c. 2.1 ; 122 II 464 consid. 4a). La cause ayant été instruite à satisfaction par l’intimé, le grief de violation du droit d’être entendu, qui se fonde sur la prémisse inverse, est mal fondé.</w:t>
      </w:r>
    </w:p>
    <w:p>
      <w:r>
        <w:rPr>
          <w:b/>
        </w:rPr>
        <w:t>E. 10</w:t>
      </w:r>
    </w:p>
    <w:p>
      <w:r>
        <w:t>a) En définitive, le recours, mal fondé, doit être rejeté et la décision litigieuse confirmée. b) La procédure de recours en matière de contestations portant sur l’octroi ou le refus de prestations de l’AI devant le tribunal cantonal des assurances est soumise à des frais de justice (art. 69 al. 1bis LAI). Il convient de les fixer à 600 fr. et de les mettre à la charge du recourant qui succombe.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