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ZD22.037146 vom 5. November 2024</w:t>
      </w:r>
    </w:p>
    <w:p>
      <w:r>
        <w:t>VD Tribunal cantonal, 2024-11-05, FR</w:t>
      </w:r>
    </w:p>
    <w:p>
      <w:r>
        <w:rPr>
          <w:b/>
        </w:rPr>
        <w:t xml:space="preserve">Quelle: </w:t>
      </w:r>
      <w:r>
        <w:t>https://mcp.opencaselaw.ch/entscheid/vd_gerichte_ZD22.037146</w:t>
      </w:r>
    </w:p>
    <w:p>
      <w:r>
        <w:t>FR: VD_GERICHTE ZD22.037146 du 5 novembre 2024</w:t>
      </w:r>
    </w:p>
    <w:p>
      <w:r>
        <w:t>IT: VD_GERICHTE ZD22.037146 del 5 novembre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- 12 -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- 13 -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w:t>
      </w:r>
    </w:p>
    <w:p>
      <w:r>
        <w:t>- 14 -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 Les affections psychiques, les affections psychosomatiques et les syndromes de dépendance à des substances psychotropes doivent en principe faire l’objet d’une procédure probatoire structurée (ATF 145 V 215 ; 143 V 418 consid. 6 et 7 ; 141 V 281 et les références citées).</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décembre 2019, rapport du 8 mars 2021). Dès lors, quand bien même la Dre E.________ retient une aggravation des vertiges, elle n’atteste pas que celle-ci exercerait une influence sur la capacité de travail de la recourante. Au vu de l’ensemble de ces éléments, il convient de retenir que si le diagnostic d’infection au COVID-19 en mars 2022 est un élément nouveau inconnu des experts, ses conséquences sur la recourante ne sont pas rendues vraisemblables, à tout le moins qu’elles ont perduré de manière significative. ff) Quant au rapport établi le 14 octobre 2022 par la Dre P.________ à la suite de la consultation du même jour, il relate les plaintes de la recourante quant à l’augmentation de ses vertiges depuis son</w:t>
      </w:r>
    </w:p>
    <w:p>
      <w:r>
        <w:t>- 19 - infection au COVID-19. Là encore, il se fonde essentiellement sur les déclarations de la recourante. En outre, la Dre P.________ n’indique pas de diagnostic nouveau, ceux évoqués dans son rapport étant déjà connus. Par ailleurs, cette médecin évoque une arythmie supraventriculaire, constatée lors de la consultation du 14 octobre 2022. Ce diagnostic est qualifié de nouveau et de potentiellement incapacitant par le SMR (cf. rapport du SMR du 12 novembre 2022). Toutefois, il a été objectivement constaté pour la première fois lors de la consultation du 14 octobre 2022, c’est-à-dire postérieurement à la décision attaquée. Dès lors, il ne peut en être tenu compte dans l’examen de la légalité de ladite décision. Tout au plus, pourrait-il fonder une nouvelle demande de la recourante. e) En définitive, l’appréciation faite par les experts de C.________ SA de la situation médicale de la recourante est claire et convaincante, sans qu’il n’existe au dossier d’éléments antérieurs à la décision attaquée, justifiant de s’éloigner de leurs conclusions. Tout au plus, l’arythmie supraventriculaire nouvellement évoquée par la Dre P.________, impliquant des examens complémentaires (notamment une consultation auprès du Prof. [...], électrophysiologue au Centre [...] selon le rapport de la Dre P.________) pourrait-elle justifier le dépôt d’une nouvelle demande auprès de l’OAI. f) Sur le vu de ce qui précède, il convient de reconnaître une pleine valeur probante au rapport d’expertise établi le 20 janvier 2022 par les Drs X.________, K.________ et R.________, dont la Cour de céans n’a aucun motif de s’écarter. Partant, il sied de suivre les conclusions des experts et de retenir que la recourante présente depuis à tout le moins le mois de février 2017 une capacité de travail de 85 % dans son activité habituelle ou dans toute activité répondant aux limitations fonctionnelles retenues. Dans la mesure où la recourante est capable de travailler dans son activité habituelle, son taux d’incapacité de travail se confond avec son taux d’invalidité. C’est donc à juste titre que l’intimé a refusé d’allouer une rente à la recourante, un taux d’invalidité de 15 % n’ouvrant pas de droit à une rente.</w:t>
      </w:r>
    </w:p>
    <w:p>
      <w:r>
        <w:t>- 20 -</w:t>
      </w:r>
    </w:p>
    <w:p>
      <w:r>
        <w:rPr>
          <w:b/>
        </w:rPr>
        <w:t>E. 7</w:t>
      </w:r>
    </w:p>
    <w:p>
      <w:r>
        <w:t>a) En définitive, le recours, mal fondé, doit être rejeté et la décision attaquée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à la recourante, qui n’obtient pas gain de cause (art. 61 let. g LPGA). d) Me Jean-Michel Duc a été désigné en qualité d’avocat d’office à compter du 14 septembre 2022 et peut donc prétendre à une équitable indemnité pour son mandat d’office (art. 118 al. 1 let. c CPC, applicable par renvoi de l'art. 18 al. 5 LPA-VD). Il a produit une liste des opérations, qui sont globalement justifiées par la bonne exécution du mandat de conseil d’office de la recourante. L’indemnité de Me Duc est ainsi arrêtée à 1'713 fr. 25 ([8h25 × 180 fr.] + [75 fr. 75 ; débours] + [7,7 % ; TVA 2022]), débours et TVA compris (art. 2, 3 al. 2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